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eb9a42a2d4b1d" /></Relationships>
</file>

<file path=word/document.xml><?xml version="1.0" encoding="utf-8"?>
<w:document xmlns:w="http://schemas.openxmlformats.org/wordprocessingml/2006/main">
  <w:body>
    <w:p>
      <w:r>
        <w:t>H-4098.1</w:t>
      </w:r>
    </w:p>
    <w:p>
      <w:pPr>
        <w:jc w:val="center"/>
      </w:pPr>
      <w:r>
        <w:t>_______________________________________________</w:t>
      </w:r>
    </w:p>
    <w:p/>
    <w:p>
      <w:pPr>
        <w:jc w:val="center"/>
      </w:pPr>
      <w:r>
        <w:rPr>
          <w:b/>
        </w:rPr>
        <w:t>HOUSE BILL 2800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Vick, and Eslick</w:t>
      </w:r>
    </w:p>
    <w:p/>
    <w:p>
      <w:r>
        <w:rPr>
          <w:t xml:space="preserve">Read first time 01/22/20.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performance of personal services by a craft distillery, distiller, spirits certificate of approval holder, or distributor;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w:t>
      </w:r>
      <w:r>
        <w:rPr>
          <w:u w:val="single"/>
        </w:rPr>
        <w:t xml:space="preserve">Nothing in RCW 66.28.305 prohibits the performance of personal services offered from time to time by a craft distillery, distiller, spirits certificate of approval holder, or distributor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restaurant holding a spirits, beer, and wine license, a special occasion license, or a private club license. A craft distillery, distiller, spirits certificate of approval holder, or distributor is not obligated to perform any such personal services, and a retail licensee may not require a craft distillery, distiller, spirits certificate of approval holder, or distributor to conduct any personal service as a condition for selling any alcohol to the retail licensee, or as a condition for including any product of the craft distillery, distiller, spirits certificate of approval holder, or distributor in any tasting conducted by the licensee. The instruction of consumers may include the furnishing of not more than three tastings to any individual in one day. A single tasting of distilled spirits may not exceed one-half ounce.</w:t>
      </w:r>
    </w:p>
    <w:p>
      <w:pPr>
        <w:spacing w:before="0" w:after="0" w:line="408" w:lineRule="exact"/>
        <w:ind w:left="0" w:right="0" w:firstLine="576"/>
        <w:jc w:val="left"/>
      </w:pP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d16b71f81bcf47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661a743ce4335" /><Relationship Type="http://schemas.openxmlformats.org/officeDocument/2006/relationships/footer" Target="/word/footer1.xml" Id="Rd16b71f81bcf47f1" /></Relationships>
</file>