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e450db8ade4864" /></Relationships>
</file>

<file path=word/document.xml><?xml version="1.0" encoding="utf-8"?>
<w:document xmlns:w="http://schemas.openxmlformats.org/wordprocessingml/2006/main">
  <w:body>
    <w:p>
      <w:r>
        <w:t>H-3890.2</w:t>
      </w:r>
    </w:p>
    <w:p>
      <w:pPr>
        <w:jc w:val="center"/>
      </w:pPr>
      <w:r>
        <w:t>_______________________________________________</w:t>
      </w:r>
    </w:p>
    <w:p/>
    <w:p>
      <w:pPr>
        <w:jc w:val="center"/>
      </w:pPr>
      <w:r>
        <w:rPr>
          <w:b/>
        </w:rPr>
        <w:t>HOUSE BILL 2845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Sutherland, McCaslin, Eslick, and Shea</w:t>
      </w:r>
    </w:p>
    <w:p/>
    <w:p>
      <w:r>
        <w:rPr>
          <w:t xml:space="preserve">Read first time 01/27/20.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licenses; amending RCW 9.41.240; reenacting and amending RCW 9.41.070;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state firearms regulations deny Second Amendment rights to lawful residents between the ages of eighteen and twenty. The legislature finds that vulnerable populations, such as young domestic violence victims and young women, are not afforded the opportunity to exercise their Second Amendment rights for self-defense purposes. The legislature intends to restore the rights of young adults to be able to carry a firearm for self-defense purposes when they are in fear of danger or harm from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w:t>
      </w:r>
      <w:r>
        <w:t>((</w:t>
      </w:r>
      <w:r>
        <w:rPr>
          <w:strike/>
        </w:rPr>
        <w:t xml:space="preserve">He</w:t>
      </w:r>
      <w:r>
        <w:t>))</w:t>
      </w:r>
      <w:r>
        <w:rPr/>
        <w:t xml:space="preserve"> </w:t>
      </w:r>
      <w:r>
        <w:rPr>
          <w:u w:val="single"/>
        </w:rPr>
        <w:t xml:space="preserve">Except as provided in subsection (2) of this section, he</w:t>
      </w:r>
      <w:r>
        <w:rPr/>
        <w:t xml:space="preserve"> or she is under twenty-one years of age;</w:t>
      </w:r>
    </w:p>
    <w:p>
      <w:pPr>
        <w:spacing w:before="0" w:after="0" w:line="408" w:lineRule="exact"/>
        <w:ind w:left="0" w:right="0" w:firstLine="576"/>
        <w:jc w:val="left"/>
      </w:pPr>
      <w:r>
        <w:rPr/>
        <w:t xml:space="preserve">(d) He or she is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 </w:t>
      </w:r>
      <w:r>
        <w:rPr>
          <w:u w:val="single"/>
        </w:rPr>
        <w:t xml:space="preserve">A female person who is at least eighteen years of age and under twenty-one years of age may apply for, and be issued, a concealed pistol license if the person meets all the requirements of this section and, in addition, provides to the issuing authority a written declaration that the person is in fear of danger or harm from another person that justifies a need to carry a pistol. The issuing authority shall not charge the application fee under subsection (7) of this section to an applicant who meets the requirements of this section.</w:t>
      </w:r>
    </w:p>
    <w:p>
      <w:pPr>
        <w:spacing w:before="0" w:after="0" w:line="408" w:lineRule="exact"/>
        <w:ind w:left="0" w:right="0" w:firstLine="576"/>
        <w:jc w:val="left"/>
      </w:pPr>
      <w:r>
        <w:rPr>
          <w:u w:val="single"/>
        </w:rPr>
        <w:t xml:space="preserve">(3)</w:t>
      </w:r>
      <w:r>
        <w:rPr/>
        <w:t xml:space="preserve">(a)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12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nonrefundable fee for replacement of lost or damaged licenses is ten dollars to be paid to the issuing authority.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w:t>
      </w:r>
      <w:r>
        <w:t>((</w:t>
      </w:r>
      <w:r>
        <w:rPr>
          <w:strike/>
        </w:rPr>
        <w:t xml:space="preserve">(6)</w:t>
      </w:r>
      <w:r>
        <w:t>))</w:t>
      </w:r>
      <w:r>
        <w:rPr/>
        <w:t xml:space="preserve"> </w:t>
      </w:r>
      <w:r>
        <w:rPr>
          <w:u w:val="single"/>
        </w:rPr>
        <w:t xml:space="preserve">(7)</w:t>
      </w:r>
      <w:r>
        <w:rPr/>
        <w:t xml:space="preserve">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Notwithstanding the requirements of subsections (1) through </w:t>
      </w:r>
      <w:r>
        <w:t>((</w:t>
      </w:r>
      <w:r>
        <w:rPr>
          <w:strike/>
        </w:rPr>
        <w:t xml:space="preserve">(9)</w:t>
      </w:r>
      <w:r>
        <w:t>))</w:t>
      </w:r>
      <w:r>
        <w:rPr/>
        <w:t xml:space="preserve"> </w:t>
      </w:r>
      <w:r>
        <w:rPr>
          <w:u w:val="single"/>
        </w:rPr>
        <w:t xml:space="preserve">(10)</w:t>
      </w:r>
      <w:r>
        <w:rPr/>
        <w:t xml:space="preserve">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(7)</w:t>
      </w:r>
      <w:r>
        <w:rPr/>
        <w:t xml:space="preserve"> and </w:t>
      </w:r>
      <w:r>
        <w:t>((</w:t>
      </w:r>
      <w:r>
        <w:rPr>
          <w:strike/>
        </w:rPr>
        <w:t xml:space="preserve">(9)</w:t>
      </w:r>
      <w:r>
        <w:t>))</w:t>
      </w:r>
      <w:r>
        <w:rPr/>
        <w:t xml:space="preserve"> </w:t>
      </w:r>
      <w:r>
        <w:rPr>
          <w:u w:val="single"/>
        </w:rPr>
        <w:t xml:space="preserve">(10)</w:t>
      </w:r>
      <w:r>
        <w:rPr/>
        <w:t xml:space="preserve">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w:t>
      </w:r>
      <w:r>
        <w:t>((</w:t>
      </w:r>
      <w:r>
        <w:rPr>
          <w:strike/>
        </w:rPr>
        <w:t xml:space="preserve">(14)</w:t>
      </w:r>
      <w:r>
        <w:t>))</w:t>
      </w:r>
      <w:r>
        <w:rPr/>
        <w:t xml:space="preserve"> </w:t>
      </w:r>
      <w:r>
        <w:rPr>
          <w:u w:val="single"/>
        </w:rPr>
        <w:t xml:space="preserve">(15)</w:t>
      </w:r>
      <w:r>
        <w:rPr/>
        <w:t xml:space="preserve"> shall take effect on the expiration date of the prior license. A licensee renewing after the expiration date of the license under this subsection </w:t>
      </w:r>
      <w:r>
        <w:t>((</w:t>
      </w:r>
      <w:r>
        <w:rPr>
          <w:strike/>
        </w:rPr>
        <w:t xml:space="preserve">(14)</w:t>
      </w:r>
      <w:r>
        <w:t>))</w:t>
      </w:r>
      <w:r>
        <w:rPr/>
        <w:t xml:space="preserve"> </w:t>
      </w:r>
      <w:r>
        <w:rPr>
          <w:u w:val="single"/>
        </w:rPr>
        <w:t xml:space="preserve">(15)</w:t>
      </w:r>
      <w:r>
        <w:rPr/>
        <w:t xml:space="preserve"> shall pay only the renewal fee specified in subsection </w:t>
      </w:r>
      <w:r>
        <w:t>((</w:t>
      </w:r>
      <w:r>
        <w:rPr>
          <w:strike/>
        </w:rPr>
        <w:t xml:space="preserve">(6)</w:t>
      </w:r>
      <w:r>
        <w:t>))</w:t>
      </w:r>
      <w:r>
        <w:rPr/>
        <w:t xml:space="preserve"> </w:t>
      </w:r>
      <w:r>
        <w:rPr>
          <w:u w:val="single"/>
        </w:rPr>
        <w:t xml:space="preserve">(7)</w:t>
      </w:r>
      <w:r>
        <w:rPr/>
        <w:t xml:space="preserve"> of this section and shall not be required to pay a late renewal penalty in addition to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(7)</w:t>
      </w:r>
      <w:r>
        <w:rPr/>
        <w:t xml:space="preserve"> and </w:t>
      </w:r>
      <w:r>
        <w:t>((</w:t>
      </w:r>
      <w:r>
        <w:rPr>
          <w:strike/>
        </w:rPr>
        <w:t xml:space="preserve">(9)</w:t>
      </w:r>
      <w:r>
        <w:t>))</w:t>
      </w:r>
      <w:r>
        <w:rPr/>
        <w:t xml:space="preserve"> </w:t>
      </w:r>
      <w:r>
        <w:rPr>
          <w:u w:val="single"/>
        </w:rPr>
        <w:t xml:space="preserve">(10)</w:t>
      </w:r>
      <w:r>
        <w:rPr/>
        <w:t xml:space="preserve">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w:t>
      </w:r>
      <w:r>
        <w:t>((</w:t>
      </w:r>
      <w:r>
        <w:rPr>
          <w:strike/>
        </w:rPr>
        <w:t xml:space="preserve">(6)</w:t>
      </w:r>
      <w:r>
        <w:t>))</w:t>
      </w:r>
      <w:r>
        <w:rPr/>
        <w:t xml:space="preserve"> </w:t>
      </w:r>
      <w:r>
        <w:rPr>
          <w:u w:val="single"/>
        </w:rPr>
        <w:t xml:space="preserve">(7)</w:t>
      </w:r>
      <w:r>
        <w:rPr/>
        <w:t xml:space="preserve"> of this section, and, if applicable, the late renewal penalty under subsection </w:t>
      </w:r>
      <w:r>
        <w:t>((</w:t>
      </w:r>
      <w:r>
        <w:rPr>
          <w:strike/>
        </w:rPr>
        <w:t xml:space="preserve">(9)</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2019 c 3 s 13 (Initiative Measure No. 1639) are each amended to read as follows:</w:t>
      </w:r>
    </w:p>
    <w:p>
      <w:pPr>
        <w:spacing w:before="0" w:after="0" w:line="408" w:lineRule="exact"/>
        <w:ind w:left="0" w:right="0" w:firstLine="576"/>
        <w:jc w:val="left"/>
      </w:pPr>
      <w:r>
        <w:rPr/>
        <w:t xml:space="preserve">(1) A person under twenty-one years of age may not purchase a pistol or semiautomatic assault rifle, and except as otherwise provided in this chapter, no person may sell or transfer a semiautomatic assault rifle to a person under twenty-one years of age.</w:t>
      </w:r>
    </w:p>
    <w:p>
      <w:pPr>
        <w:spacing w:before="0" w:after="0" w:line="408" w:lineRule="exact"/>
        <w:ind w:left="0" w:right="0" w:firstLine="576"/>
        <w:jc w:val="left"/>
      </w:pPr>
      <w:r>
        <w:rPr/>
        <w:t xml:space="preserve">(2) Unless an exception under RCW 9.41.042, 9.41.050, </w:t>
      </w:r>
      <w:r>
        <w:t>((</w:t>
      </w:r>
      <w:r>
        <w:rPr>
          <w:strike/>
        </w:rPr>
        <w:t xml:space="preserve">or</w:t>
      </w:r>
      <w:r>
        <w:t>))</w:t>
      </w:r>
      <w:r>
        <w:rPr/>
        <w:t xml:space="preserve"> 9.41.060</w:t>
      </w:r>
      <w:r>
        <w:rPr>
          <w:u w:val="single"/>
        </w:rPr>
        <w:t xml:space="preserve">, or subsection (4) of this section</w:t>
      </w:r>
      <w:r>
        <w:rPr/>
        <w:t xml:space="preserve"> applies, a person at least eighteen years of age, but less than twenty-one years of age, may possess a pistol only:</w:t>
      </w:r>
    </w:p>
    <w:p>
      <w:pPr>
        <w:spacing w:before="0" w:after="0" w:line="408" w:lineRule="exact"/>
        <w:ind w:left="0" w:right="0" w:firstLine="576"/>
        <w:jc w:val="left"/>
      </w:pPr>
      <w:r>
        <w:rPr/>
        <w:t xml:space="preserve">(a) In the person's place of abode;</w:t>
      </w:r>
    </w:p>
    <w:p>
      <w:pPr>
        <w:spacing w:before="0" w:after="0" w:line="408" w:lineRule="exact"/>
        <w:ind w:left="0" w:right="0" w:firstLine="576"/>
        <w:jc w:val="left"/>
      </w:pPr>
      <w:r>
        <w:rPr/>
        <w:t xml:space="preserve">(b) At the person's fixed place of business; or</w:t>
      </w:r>
    </w:p>
    <w:p>
      <w:pPr>
        <w:spacing w:before="0" w:after="0" w:line="408" w:lineRule="exact"/>
        <w:ind w:left="0" w:right="0" w:firstLine="576"/>
        <w:jc w:val="left"/>
      </w:pPr>
      <w:r>
        <w:rPr/>
        <w:t xml:space="preserve">(c) On real property under his or her control.</w:t>
      </w:r>
    </w:p>
    <w:p>
      <w:pPr>
        <w:spacing w:before="0" w:after="0" w:line="408" w:lineRule="exact"/>
        <w:ind w:left="0" w:right="0" w:firstLine="576"/>
        <w:jc w:val="left"/>
      </w:pPr>
      <w:r>
        <w:rPr/>
        <w:t xml:space="preserve">(3) Except in the places and situations identified in RCW 9.41.042 (1) through (9) and 9.41.060 (1) through (10), a person at least eighteen years of age, but less than twenty-one years of age, may possess a semiautomatic assault rifle only:</w:t>
      </w:r>
    </w:p>
    <w:p>
      <w:pPr>
        <w:spacing w:before="0" w:after="0" w:line="408" w:lineRule="exact"/>
        <w:ind w:left="0" w:right="0" w:firstLine="576"/>
        <w:jc w:val="left"/>
      </w:pPr>
      <w:r>
        <w:rPr/>
        <w:t xml:space="preserve">(a) In the person's place of abode;</w:t>
      </w:r>
    </w:p>
    <w:p>
      <w:pPr>
        <w:spacing w:before="0" w:after="0" w:line="408" w:lineRule="exact"/>
        <w:ind w:left="0" w:right="0" w:firstLine="576"/>
        <w:jc w:val="left"/>
      </w:pPr>
      <w:r>
        <w:rPr/>
        <w:t xml:space="preserve">(b) At the person's fixed place of business;</w:t>
      </w:r>
    </w:p>
    <w:p>
      <w:pPr>
        <w:spacing w:before="0" w:after="0" w:line="408" w:lineRule="exact"/>
        <w:ind w:left="0" w:right="0" w:firstLine="576"/>
        <w:jc w:val="left"/>
      </w:pPr>
      <w:r>
        <w:rPr/>
        <w:t xml:space="preserve">(c) On real property under his or her control; or</w:t>
      </w:r>
    </w:p>
    <w:p>
      <w:pPr>
        <w:spacing w:before="0" w:after="0" w:line="408" w:lineRule="exact"/>
        <w:ind w:left="0" w:right="0" w:firstLine="576"/>
        <w:jc w:val="left"/>
      </w:pPr>
      <w:r>
        <w:rPr/>
        <w:t xml:space="preserve">(d) For the specific purpose of (i) moving to a new place of abode; (ii) traveling between the person's place of abode and real property under his or her control; or (iii) selling or transferring the firearm in accordance with the requirements of this chapter; provided that in all of these situations the semiautomatic assault rifle is unloaded and either in secure gun storage or secured with a trigger lock or similar device that is designed to prevent the unauthorized use or discharge of the firearm.</w:t>
      </w:r>
    </w:p>
    <w:p>
      <w:pPr>
        <w:spacing w:before="0" w:after="0" w:line="408" w:lineRule="exact"/>
        <w:ind w:left="0" w:right="0" w:firstLine="576"/>
        <w:jc w:val="left"/>
      </w:pPr>
      <w:r>
        <w:rPr>
          <w:u w:val="single"/>
        </w:rPr>
        <w:t xml:space="preserve">(4) The provisions of this section governing possession of pistols do not apply to a female person at least eighteen years of age, but less than twenty-one years of age, who has a valid concealed pistol license issued under the requirements of RCW 9.41.070(2).</w:t>
      </w:r>
    </w:p>
    <w:p/>
    <w:p>
      <w:pPr>
        <w:jc w:val="center"/>
      </w:pPr>
      <w:r>
        <w:rPr>
          <w:b/>
        </w:rPr>
        <w:t>--- END ---</w:t>
      </w:r>
    </w:p>
    <w:sectPr>
      <w:pgNumType w:start="1"/>
      <w:footerReference xmlns:r="http://schemas.openxmlformats.org/officeDocument/2006/relationships" r:id="Rcff7692594134c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2f00de5044014" /><Relationship Type="http://schemas.openxmlformats.org/officeDocument/2006/relationships/footer" Target="/word/footer1.xml" Id="Rcff7692594134cec" /></Relationships>
</file>