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cee6c07472421a" /></Relationships>
</file>

<file path=word/document.xml><?xml version="1.0" encoding="utf-8"?>
<w:document xmlns:w="http://schemas.openxmlformats.org/wordprocessingml/2006/main">
  <w:body>
    <w:p>
      <w:r>
        <w:t>H-4191.1</w:t>
      </w:r>
    </w:p>
    <w:p>
      <w:pPr>
        <w:jc w:val="center"/>
      </w:pPr>
      <w:r>
        <w:t>_______________________________________________</w:t>
      </w:r>
    </w:p>
    <w:p/>
    <w:p>
      <w:pPr>
        <w:jc w:val="center"/>
      </w:pPr>
      <w:r>
        <w:rPr>
          <w:b/>
        </w:rPr>
        <w:t>HOUSE BILL 2863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Irwin, and Kilduff</w:t>
      </w:r>
    </w:p>
    <w:p/>
    <w:p>
      <w:r>
        <w:rPr>
          <w:t xml:space="preserve">Read first time 01/27/20.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therapeutic alternatives and interventions through courts of limited jurisdiction for people with behavioral health conditions; reenacting and amending RCW 71.24.580;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majority of individuals in our criminal legal system live with a mental health or substance use condition, or both;</w:t>
      </w:r>
    </w:p>
    <w:p>
      <w:pPr>
        <w:spacing w:before="0" w:after="0" w:line="408" w:lineRule="exact"/>
        <w:ind w:left="0" w:right="0" w:firstLine="576"/>
        <w:jc w:val="left"/>
      </w:pPr>
      <w:r>
        <w:rPr/>
        <w:t xml:space="preserve">(b) Many such individuals have repeated interactions with the criminal legal system because their underlying behavioral health condition remains untreated;</w:t>
      </w:r>
    </w:p>
    <w:p>
      <w:pPr>
        <w:spacing w:before="0" w:after="0" w:line="408" w:lineRule="exact"/>
        <w:ind w:left="0" w:right="0" w:firstLine="576"/>
        <w:jc w:val="left"/>
      </w:pPr>
      <w:r>
        <w:rPr/>
        <w:t xml:space="preserve">(c) Mental health and substance use disorders are treatable conditions from which people recover; and</w:t>
      </w:r>
    </w:p>
    <w:p>
      <w:pPr>
        <w:spacing w:before="0" w:after="0" w:line="408" w:lineRule="exact"/>
        <w:ind w:left="0" w:right="0" w:firstLine="576"/>
        <w:jc w:val="left"/>
      </w:pPr>
      <w:r>
        <w:rPr/>
        <w:t xml:space="preserve">(d) Courts of limited jurisdiction can play a crucial role in providing pathways to treatment, long-term recovery, and reduced recidivism for this population.</w:t>
      </w:r>
    </w:p>
    <w:p>
      <w:pPr>
        <w:spacing w:before="0" w:after="0" w:line="408" w:lineRule="exact"/>
        <w:ind w:left="0" w:right="0" w:firstLine="576"/>
        <w:jc w:val="left"/>
      </w:pPr>
      <w:r>
        <w:rPr/>
        <w:t xml:space="preserve">(2) Therefore, it is the intent of the legislature to expand opportunities for district and municipal courts to engage individuals living with behavioral health conditions in therapeutic interventions to address their underlying conditions, promote recovery, and reduce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w:t>
      </w:r>
      <w:r>
        <w:t>((</w:t>
      </w:r>
      <w:r>
        <w:rPr>
          <w:strike/>
        </w:rPr>
        <w:t xml:space="preserve">71.24.560</w:t>
      </w:r>
      <w:r>
        <w:t>))</w:t>
      </w:r>
      <w:r>
        <w:rPr/>
        <w:t xml:space="preserve"> </w:t>
      </w:r>
      <w:r>
        <w:rPr>
          <w:u w:val="single"/>
        </w:rPr>
        <w:t xml:space="preserve">71.24.025</w:t>
      </w:r>
      <w:r>
        <w:rPr/>
        <w:t xml:space="preserve">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0" w:after="0" w:line="408" w:lineRule="exact"/>
        <w:ind w:left="0" w:right="0" w:firstLine="576"/>
        <w:jc w:val="left"/>
      </w:pPr>
      <w:r>
        <w:rPr>
          <w:u w:val="single"/>
        </w:rPr>
        <w:t xml:space="preserve">(12) Subject to the availability of funds appropriated for this specific purpose, moneys in the criminal justice treatment account may be expended for a district and municipal court grant program aimed at identifying criminal justice system-involved persons with mental health and substance use disorders and engaging those persons with evidence-based or emerging best practice therapeutic interventions and other services.</w:t>
      </w:r>
    </w:p>
    <w:p>
      <w:pPr>
        <w:spacing w:before="0" w:after="0" w:line="408" w:lineRule="exact"/>
        <w:ind w:left="0" w:right="0" w:firstLine="576"/>
        <w:jc w:val="left"/>
      </w:pPr>
      <w:r>
        <w:rPr>
          <w:u w:val="single"/>
        </w:rPr>
        <w:t xml:space="preserve">(a) Grants must be awarded to jurisdictions based on locally developed proposals to establish new programs or expand existing programs. Jurisdictions are encouraged to work cooperatively as authorized by RCW 2.30.050.</w:t>
      </w:r>
    </w:p>
    <w:p>
      <w:pPr>
        <w:spacing w:before="0" w:after="0" w:line="408" w:lineRule="exact"/>
        <w:ind w:left="0" w:right="0" w:firstLine="576"/>
        <w:jc w:val="left"/>
      </w:pPr>
      <w:r>
        <w:rPr>
          <w:u w:val="single"/>
        </w:rPr>
        <w:t xml:space="preserve">(b) Courts receiving funding must use the funds to create a new therapeutic court, enhance existing therapeutic court operations, or make therapeutic interventions and supports available to individuals with behavioral health conditions. Enhancements and supports may include the following:</w:t>
      </w:r>
    </w:p>
    <w:p>
      <w:pPr>
        <w:spacing w:before="0" w:after="0" w:line="408" w:lineRule="exact"/>
        <w:ind w:left="0" w:right="0" w:firstLine="576"/>
        <w:jc w:val="left"/>
      </w:pPr>
      <w:r>
        <w:rPr>
          <w:u w:val="single"/>
        </w:rPr>
        <w:t xml:space="preserve">(i) Performing on-site assessments for behavioral health conditions;</w:t>
      </w:r>
    </w:p>
    <w:p>
      <w:pPr>
        <w:spacing w:before="0" w:after="0" w:line="408" w:lineRule="exact"/>
        <w:ind w:left="0" w:right="0" w:firstLine="576"/>
        <w:jc w:val="left"/>
      </w:pPr>
      <w:r>
        <w:rPr>
          <w:u w:val="single"/>
        </w:rPr>
        <w:t xml:space="preserve">(ii) Developing criminal legal system-behavioral health partnerships used by communities to assess local resources, gaps, and opportunities;</w:t>
      </w:r>
    </w:p>
    <w:p>
      <w:pPr>
        <w:spacing w:before="0" w:after="0" w:line="408" w:lineRule="exact"/>
        <w:ind w:left="0" w:right="0" w:firstLine="576"/>
        <w:jc w:val="left"/>
      </w:pPr>
      <w:r>
        <w:rPr>
          <w:u w:val="single"/>
        </w:rPr>
        <w:t xml:space="preserve">(iii) Implementing comprehensive client case management systems;</w:t>
      </w:r>
    </w:p>
    <w:p>
      <w:pPr>
        <w:spacing w:before="0" w:after="0" w:line="408" w:lineRule="exact"/>
        <w:ind w:left="0" w:right="0" w:firstLine="576"/>
        <w:jc w:val="left"/>
      </w:pPr>
      <w:r>
        <w:rPr>
          <w:u w:val="single"/>
        </w:rPr>
        <w:t xml:space="preserve">(iv) Establishing peer support programs to pair individuals in the court system with trained peer supports who are themselves in recovery and who can help court-involved individuals identify and break down barriers to recovery;</w:t>
      </w:r>
    </w:p>
    <w:p>
      <w:pPr>
        <w:spacing w:before="0" w:after="0" w:line="408" w:lineRule="exact"/>
        <w:ind w:left="0" w:right="0" w:firstLine="576"/>
        <w:jc w:val="left"/>
      </w:pPr>
      <w:r>
        <w:rPr>
          <w:u w:val="single"/>
        </w:rPr>
        <w:t xml:space="preserve">(v) Developing and coordinating pretrial release programs, diversion program supervision, postconviction supervision, and seamless transitions to and from jail reentry programs, as well as programs that work with participants sentenced to jail alternatives;</w:t>
      </w:r>
    </w:p>
    <w:p>
      <w:pPr>
        <w:spacing w:before="0" w:after="0" w:line="408" w:lineRule="exact"/>
        <w:ind w:left="0" w:right="0" w:firstLine="576"/>
        <w:jc w:val="left"/>
      </w:pPr>
      <w:r>
        <w:rPr>
          <w:u w:val="single"/>
        </w:rPr>
        <w:t xml:space="preserve">(vi) Providing specialized training for judges and therapeutic court personnel relating to the adjudication of cases involving individuals with behavioral health needs;</w:t>
      </w:r>
    </w:p>
    <w:p>
      <w:pPr>
        <w:spacing w:before="0" w:after="0" w:line="408" w:lineRule="exact"/>
        <w:ind w:left="0" w:right="0" w:firstLine="576"/>
        <w:jc w:val="left"/>
      </w:pPr>
      <w:r>
        <w:rPr>
          <w:u w:val="single"/>
        </w:rPr>
        <w:t xml:space="preserve">(vii) Employing technology and software that assist the court to notify the participant of the need to appear in court or at needed appointments; and</w:t>
      </w:r>
    </w:p>
    <w:p>
      <w:pPr>
        <w:spacing w:before="0" w:after="0" w:line="408" w:lineRule="exact"/>
        <w:ind w:left="0" w:right="0" w:firstLine="576"/>
        <w:jc w:val="left"/>
      </w:pPr>
      <w:r>
        <w:rPr>
          <w:u w:val="single"/>
        </w:rPr>
        <w:t xml:space="preserve">(viii) Other innovative interventions targeted specifically at persons with substance use disorders and other behavioral health needs.</w:t>
      </w:r>
    </w:p>
    <w:p>
      <w:pPr>
        <w:spacing w:before="0" w:after="0" w:line="408" w:lineRule="exact"/>
        <w:ind w:left="0" w:right="0" w:firstLine="576"/>
        <w:jc w:val="left"/>
      </w:pPr>
      <w:r>
        <w:rPr>
          <w:u w:val="single"/>
        </w:rPr>
        <w:t xml:space="preserve">(c) The authority shall appoint a panel of representatives from the Washington association of prosecuting attorneys, the Washington association of sheriffs and police chiefs, the district and municipal judges association, the Washington state association of counties, the association of Washington cities, the Washington defender's association or the Washington association of criminal defense lawyers, a representative of therapeutic courts at the district and municipal court level, behavioral health treatment providers, recovery support service providers, a peer support service provider, and persons with lived experience of behavioral health conditions and criminal legal system involvement. The panel shall review applications for funding and allocate funding based upon the needs of the applicants as expressed in their proposal. The panel shall attempt to ensure that treatment as funded by the grants is available to offenders statewide.</w:t>
      </w:r>
    </w:p>
    <w:p>
      <w:pPr>
        <w:spacing w:before="0" w:after="0" w:line="408" w:lineRule="exact"/>
        <w:ind w:left="0" w:right="0" w:firstLine="576"/>
        <w:jc w:val="left"/>
      </w:pPr>
      <w:r>
        <w:rPr>
          <w:u w:val="single"/>
        </w:rPr>
        <w:t xml:space="preserve">(d) Priority shall be given to applicants if the needed resources are being provided through a memorandum of understanding or other form of agreement with existing resource providers versus the creation of a new resource provider or the addition of staff to the jurisdiction to perform a service that already exists in the community.</w:t>
      </w:r>
    </w:p>
    <w:p>
      <w:pPr>
        <w:spacing w:before="0" w:after="0" w:line="408" w:lineRule="exact"/>
        <w:ind w:left="0" w:right="0" w:firstLine="576"/>
        <w:jc w:val="left"/>
      </w:pPr>
      <w:r>
        <w:rPr>
          <w:u w:val="single"/>
        </w:rPr>
        <w:t xml:space="preserve">(e) Money received by grant recipients under this program must be used to supplement, not supplant, any other local, state, and federal funds for the court.</w:t>
      </w:r>
    </w:p>
    <w:p>
      <w:pPr>
        <w:spacing w:before="0" w:after="0" w:line="408" w:lineRule="exact"/>
        <w:ind w:left="0" w:right="0" w:firstLine="576"/>
        <w:jc w:val="left"/>
      </w:pPr>
      <w:r>
        <w:rPr>
          <w:u w:val="single"/>
        </w:rPr>
        <w:t xml:space="preserve">(f)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this grant program or activities carried out within the purview of a grant received under this program except upon proof of bad faith or gross negligence.</w:t>
      </w:r>
    </w:p>
    <w:p/>
    <w:p>
      <w:pPr>
        <w:jc w:val="center"/>
      </w:pPr>
      <w:r>
        <w:rPr>
          <w:b/>
        </w:rPr>
        <w:t>--- END ---</w:t>
      </w:r>
    </w:p>
    <w:sectPr>
      <w:pgNumType w:start="1"/>
      <w:footerReference xmlns:r="http://schemas.openxmlformats.org/officeDocument/2006/relationships" r:id="Recf5e0275af044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c46c086204470" /><Relationship Type="http://schemas.openxmlformats.org/officeDocument/2006/relationships/footer" Target="/word/footer1.xml" Id="Recf5e0275af044c4" /></Relationships>
</file>