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4dac9a691c4cf0" /></Relationships>
</file>

<file path=word/document.xml><?xml version="1.0" encoding="utf-8"?>
<w:document xmlns:w="http://schemas.openxmlformats.org/wordprocessingml/2006/main">
  <w:body>
    <w:p>
      <w:r>
        <w:t>H-4355.1</w:t>
      </w:r>
    </w:p>
    <w:p>
      <w:pPr>
        <w:jc w:val="center"/>
      </w:pPr>
      <w:r>
        <w:t>_______________________________________________</w:t>
      </w:r>
    </w:p>
    <w:p/>
    <w:p>
      <w:pPr>
        <w:jc w:val="center"/>
      </w:pPr>
      <w:r>
        <w:rPr>
          <w:b/>
        </w:rPr>
        <w:t>SUBSTITUTE HOUSE BILL 2875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Hoff, Vick, Corry, Graham, Gildon, and Mosbrucker)</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review process for professional licensing regulations and requiring a report to the legislature;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additional protection by means of the regulation of a profession through professional licensure may be deemed necessary to ensure that the public's health, safety, and general welfare is protected. Furthermore, technological innovation continues to change the responsibilities and practices surrounding these professions, and by result, the potential harms associated with them.</w:t>
      </w:r>
    </w:p>
    <w:p>
      <w:pPr>
        <w:spacing w:before="0" w:after="0" w:line="408" w:lineRule="exact"/>
        <w:ind w:left="0" w:right="0" w:firstLine="576"/>
        <w:jc w:val="left"/>
      </w:pPr>
      <w:r>
        <w:rPr/>
        <w:t xml:space="preserve">(2) It is also recognized that requirements, such as educational requirements, fees, and training hours, which an individual must fulfill before receiving a license to practice in a profession, can create barriers to an individual's upward mobility and freedom to pursue their profession of choice.</w:t>
      </w:r>
    </w:p>
    <w:p>
      <w:pPr>
        <w:spacing w:before="0" w:after="0" w:line="408" w:lineRule="exact"/>
        <w:ind w:left="0" w:right="0" w:firstLine="576"/>
        <w:jc w:val="left"/>
      </w:pPr>
      <w:r>
        <w:rPr/>
        <w:t xml:space="preserve">(3) It is, therefore, the intent of the legislature to establish a sunset review process for all professional licensing requirements regulated by the department of licensing, to ensure that the rights and well-being of current and future practitioners of the profession be given full protection from unnecessary regulatory burden and that regulations meant to safeguard public health and safety are still warranted.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professional license review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2021, the department shall annually review and analyze approximately twenty percent of the professional licenses regulated by the department and prepare and submit an annual report electronically to the chief clerk of the house of representatives, the secretary of the senate, and each member of the house of representatives and senate by August 31st of each year as provided in this section. The department shall complete this process for all professional licenses within its jurisdiction within five years and every five years thereafter. Each report shall include the department's recommendations regarding whether the professional licenses should be terminated, continued, or modified.</w:t>
      </w:r>
    </w:p>
    <w:p>
      <w:pPr>
        <w:spacing w:before="0" w:after="0" w:line="408" w:lineRule="exact"/>
        <w:ind w:left="0" w:right="0" w:firstLine="576"/>
        <w:jc w:val="left"/>
      </w:pPr>
      <w:r>
        <w:rPr/>
        <w:t xml:space="preserve">(2) The department may require the submission of information by the affected professional board or commission and other affected or interested parties. The department shall provide notice to the relevant professional board or commission prior to commencing the review.</w:t>
      </w:r>
    </w:p>
    <w:p>
      <w:pPr>
        <w:spacing w:before="0" w:after="0" w:line="408" w:lineRule="exact"/>
        <w:ind w:left="0" w:right="0" w:firstLine="576"/>
        <w:jc w:val="left"/>
      </w:pPr>
      <w:r>
        <w:rPr/>
        <w:t xml:space="preserve">(3) The department's report shall include, but not be limited to, the following:</w:t>
      </w:r>
    </w:p>
    <w:p>
      <w:pPr>
        <w:spacing w:before="0" w:after="0" w:line="408" w:lineRule="exact"/>
        <w:ind w:left="0" w:right="0" w:firstLine="576"/>
        <w:jc w:val="left"/>
      </w:pPr>
      <w:r>
        <w:rPr/>
        <w:t xml:space="preserve">(a) The title of the professional license and, if applicable, the name of the professional board or commission responsible for enforcement of the professional license, if any;</w:t>
      </w:r>
    </w:p>
    <w:p>
      <w:pPr>
        <w:spacing w:before="0" w:after="0" w:line="408" w:lineRule="exact"/>
        <w:ind w:left="0" w:right="0" w:firstLine="576"/>
        <w:jc w:val="left"/>
      </w:pPr>
      <w:r>
        <w:rPr/>
        <w:t xml:space="preserve">(b) The statutory citation or other authorization for the creation of the professional license and, if applicable, the professional board or commission;</w:t>
      </w:r>
    </w:p>
    <w:p>
      <w:pPr>
        <w:spacing w:before="0" w:after="0" w:line="408" w:lineRule="exact"/>
        <w:ind w:left="0" w:right="0" w:firstLine="576"/>
        <w:jc w:val="left"/>
      </w:pPr>
      <w:r>
        <w:rPr/>
        <w:t xml:space="preserve">(c) If applicable, the number of members of the professional board or commission and how the members are appointed;</w:t>
      </w:r>
    </w:p>
    <w:p>
      <w:pPr>
        <w:spacing w:before="0" w:after="0" w:line="408" w:lineRule="exact"/>
        <w:ind w:left="0" w:right="0" w:firstLine="576"/>
        <w:jc w:val="left"/>
      </w:pPr>
      <w:r>
        <w:rPr/>
        <w:t xml:space="preserve">(d) If applicable, the qualifications for membership on the professional board or commission;</w:t>
      </w:r>
    </w:p>
    <w:p>
      <w:pPr>
        <w:spacing w:before="0" w:after="0" w:line="408" w:lineRule="exact"/>
        <w:ind w:left="0" w:right="0" w:firstLine="576"/>
        <w:jc w:val="left"/>
      </w:pPr>
      <w:r>
        <w:rPr/>
        <w:t xml:space="preserve">(e) If applicable, the number of times the professional board or commission is required to meet during the year and the number of times it actually met during the preceding five calendar years;</w:t>
      </w:r>
    </w:p>
    <w:p>
      <w:pPr>
        <w:spacing w:before="0" w:after="0" w:line="408" w:lineRule="exact"/>
        <w:ind w:left="0" w:right="0" w:firstLine="576"/>
        <w:jc w:val="left"/>
      </w:pPr>
      <w:r>
        <w:rPr/>
        <w:t xml:space="preserve">(f) Annual budget information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professional licenses, and registrations the department, professional board, or commission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professional license;</w:t>
      </w:r>
    </w:p>
    <w:p>
      <w:pPr>
        <w:spacing w:before="0" w:after="0" w:line="408" w:lineRule="exact"/>
        <w:ind w:left="0" w:right="0" w:firstLine="576"/>
        <w:jc w:val="left"/>
      </w:pPr>
      <w:r>
        <w:rPr/>
        <w:t xml:space="preserve">(i) A comparison of whether and how other states regulate the profession;</w:t>
      </w:r>
    </w:p>
    <w:p>
      <w:pPr>
        <w:spacing w:before="0" w:after="0" w:line="408" w:lineRule="exact"/>
        <w:ind w:left="0" w:right="0" w:firstLine="576"/>
        <w:jc w:val="left"/>
      </w:pPr>
      <w:r>
        <w:rPr/>
        <w:t xml:space="preserve">(j) A review and analysis of the hours or other amount of education, training, or experience required to obtain the license or credential;</w:t>
      </w:r>
    </w:p>
    <w:p>
      <w:pPr>
        <w:spacing w:before="0" w:after="0" w:line="408" w:lineRule="exact"/>
        <w:ind w:left="0" w:right="0" w:firstLine="576"/>
        <w:jc w:val="left"/>
      </w:pPr>
      <w:r>
        <w:rPr/>
        <w:t xml:space="preserve">(k) A summary of any regulatory changes made by the department, professional board, or commission as a result of the review; and</w:t>
      </w:r>
    </w:p>
    <w:p>
      <w:pPr>
        <w:spacing w:before="0" w:after="0" w:line="408" w:lineRule="exact"/>
        <w:ind w:left="0" w:right="0" w:firstLine="576"/>
        <w:jc w:val="left"/>
      </w:pPr>
      <w:r>
        <w:rPr/>
        <w:t xml:space="preserve">(l) Any recommendations regarding whether the professional license should be terminated, continued, or modified.</w:t>
      </w:r>
    </w:p>
    <w:p>
      <w:pPr>
        <w:spacing w:before="0" w:after="0" w:line="408" w:lineRule="exact"/>
        <w:ind w:left="0" w:right="0" w:firstLine="576"/>
        <w:jc w:val="left"/>
      </w:pPr>
      <w:r>
        <w:rPr/>
        <w:t xml:space="preserve">(4) After the report in subsection (3) of this section is submitted, if the relevant legislative committee determines further analysis is needed it may request the department to conduct further analysis. Specifically, the extended report shall include:</w:t>
      </w:r>
    </w:p>
    <w:p>
      <w:pPr>
        <w:spacing w:before="0" w:after="0" w:line="408" w:lineRule="exact"/>
        <w:ind w:left="0" w:right="0" w:firstLine="576"/>
        <w:jc w:val="left"/>
      </w:pPr>
      <w:r>
        <w:rPr/>
        <w:t xml:space="preserve">(a) Whether the professional license meets the policies stated and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a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 professional license; and</w:t>
      </w:r>
    </w:p>
    <w:p>
      <w:pPr>
        <w:spacing w:before="0" w:after="0" w:line="408" w:lineRule="exact"/>
        <w:ind w:left="0" w:right="0" w:firstLine="576"/>
        <w:jc w:val="left"/>
      </w:pPr>
      <w:r>
        <w:rPr/>
        <w:t xml:space="preserve">(b) If education, training, or experience is a qualification in the professional license under review,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profession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If the department finds that it is necessary to change professional licenses, the department shall recommend the least restrictive regulation consistent with the public interest and the policies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e06809359df349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45827d18c64575" /><Relationship Type="http://schemas.openxmlformats.org/officeDocument/2006/relationships/footer" Target="/word/footer1.xml" Id="Re06809359df34925" /></Relationships>
</file>