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16ef5cdca417f" /></Relationships>
</file>

<file path=word/document.xml><?xml version="1.0" encoding="utf-8"?>
<w:document xmlns:w="http://schemas.openxmlformats.org/wordprocessingml/2006/main">
  <w:body>
    <w:p>
      <w:r>
        <w:t>H-4084.2</w:t>
      </w:r>
    </w:p>
    <w:p>
      <w:pPr>
        <w:jc w:val="center"/>
      </w:pPr>
      <w:r>
        <w:t>_______________________________________________</w:t>
      </w:r>
    </w:p>
    <w:p/>
    <w:p>
      <w:pPr>
        <w:jc w:val="center"/>
      </w:pPr>
      <w:r>
        <w:rPr>
          <w:b/>
        </w:rPr>
        <w:t>HOUSE BILL 2920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Kloba, and MacEwen</w:t>
      </w:r>
    </w:p>
    <w:p/>
    <w:p>
      <w:r>
        <w:rPr>
          <w:t xml:space="preserve">Read first time 02/03/20.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special permit;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(18)(a) Where there is an application for a special permit to serve liquor, beer, wine, and cider by the individual serving for on-premises consumption at a fund-raising event for which a candidate solicits or receives a contribution. Liquor, beer, wine, and cider by the individual serving may be sold or provided free of charge to attendees at the event for on-premises consumption. Sale, service, and consumption of alcohol at the event is to be confined to specified premises or designated areas only.</w:t>
      </w:r>
    </w:p>
    <w:p>
      <w:pPr>
        <w:spacing w:before="0" w:after="0" w:line="408" w:lineRule="exact"/>
        <w:ind w:left="0" w:right="0" w:firstLine="576"/>
        <w:jc w:val="left"/>
      </w:pPr>
      <w:r>
        <w:rPr>
          <w:u w:val="single"/>
        </w:rPr>
        <w:t xml:space="preserve">(b) A permit holder must purchase liquor, beer, wine, and cider from licensees authorized to sell liquor, beer, wine, and cider at retail under this title.</w:t>
      </w:r>
    </w:p>
    <w:p>
      <w:pPr>
        <w:spacing w:before="0" w:after="0" w:line="408" w:lineRule="exact"/>
        <w:ind w:left="0" w:right="0" w:firstLine="576"/>
        <w:jc w:val="left"/>
      </w:pPr>
      <w:r>
        <w:rPr>
          <w:u w:val="single"/>
        </w:rPr>
        <w:t xml:space="preserve">(c) A permit holder may receive liquor, beer, wine, and cider donated by a manufacturer licensed under this title.</w:t>
      </w:r>
    </w:p>
    <w:p>
      <w:pPr>
        <w:spacing w:before="0" w:after="0" w:line="408" w:lineRule="exact"/>
        <w:ind w:left="0" w:right="0" w:firstLine="576"/>
        <w:jc w:val="left"/>
      </w:pPr>
      <w:r>
        <w:rPr>
          <w:u w:val="single"/>
        </w:rPr>
        <w:t xml:space="preserve">(d) The fee for a special permit issued under this subsection is twenty-five dollars for each event.</w:t>
      </w:r>
    </w:p>
    <w:p>
      <w:pPr>
        <w:spacing w:before="0" w:after="0" w:line="408" w:lineRule="exact"/>
        <w:ind w:left="0" w:right="0" w:firstLine="576"/>
        <w:jc w:val="left"/>
      </w:pPr>
      <w:r>
        <w:rPr>
          <w:u w:val="single"/>
        </w:rPr>
        <w:t xml:space="preserve">(e) For the purposes of this subsection, "candidate" and "contribution" have the meanings provided in RCW 42.17A.005.</w:t>
      </w:r>
    </w:p>
    <w:p>
      <w:pPr>
        <w:spacing w:before="0" w:after="0" w:line="408" w:lineRule="exact"/>
        <w:ind w:left="0" w:right="0" w:firstLine="576"/>
        <w:jc w:val="left"/>
      </w:pPr>
      <w:r>
        <w:rPr>
          <w:u w:val="single"/>
        </w:rPr>
        <w:t xml:space="preserve">(f) The board may adopt rules to implement this subsection</w:t>
      </w:r>
      <w:r>
        <w:rPr/>
        <w:t xml:space="preserve">.</w:t>
      </w:r>
    </w:p>
    <w:p/>
    <w:p>
      <w:pPr>
        <w:jc w:val="center"/>
      </w:pPr>
      <w:r>
        <w:rPr>
          <w:b/>
        </w:rPr>
        <w:t>--- END ---</w:t>
      </w:r>
    </w:p>
    <w:sectPr>
      <w:pgNumType w:start="1"/>
      <w:footerReference xmlns:r="http://schemas.openxmlformats.org/officeDocument/2006/relationships" r:id="R34ec8e7513574a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a0404275248ce" /><Relationship Type="http://schemas.openxmlformats.org/officeDocument/2006/relationships/footer" Target="/word/footer1.xml" Id="R34ec8e7513574a70" /></Relationships>
</file>