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5305ae57694d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1114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Doglio, Slatter, Fey, Peterson, Ryu, Fitzgibbon, Tharinger, Jinkins, Macri, and Walen)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wasting of food in order to fight hunger and reduce environmental impacts; amending RCW 70.93.180 and 70.95.090; adding a new section to chapter 70.95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consumers of food, and food bankers and related charities.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 reduction opportunities of each of those participants in the food supply chain.</w:t>
      </w:r>
    </w:p>
    <w:p>
      <w:pPr>
        <w:spacing w:before="0" w:after="0" w:line="408" w:lineRule="exact"/>
        <w:ind w:left="0" w:right="0" w:firstLine="576"/>
        <w:jc w:val="left"/>
      </w:pPr>
      <w:r>
        <w:rPr/>
        <w:t xml:space="preserve">(2) Every year, American consumers, businesses, and farms spend billions of dollars growing, processing, transporting, and disposing of food that is never eaten. That represents tens of millions of tons of food sent to landfills annually, plus millions of tons more that are discarded or left unharvested on farms. Worldwide, the United Nations food and agriculture organization has estimated that if one-fourth of the food lost or wasted globally could be saved, it would be enough to feed eight hundred seventy million hungry people. Meanwhile, one in eight Americans is food insecure, including one in six children. Recent data from the department of ecology indicate that Washington is not immune to food waste problems, and recent estimates indicate that seventeen percent of all garbage sent to Washington disposal facilities is food waste, including eight percent that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 The Pacific Coast collaborative recently agreed to a similar commitment of halving food waste by 2030, including efforts to prevent, rescue, and recover wasted food.</w:t>
      </w:r>
    </w:p>
    <w:p>
      <w:pPr>
        <w:spacing w:before="0" w:after="0" w:line="408" w:lineRule="exact"/>
        <w:ind w:left="0" w:right="0" w:firstLine="576"/>
        <w:jc w:val="left"/>
      </w:pPr>
      <w:r>
        <w:rPr/>
        <w:t xml:space="preserve">(3) By establishing state wasted food reduction goals and developing a state wasted food reduction strategy, it is the intent of the legislature to continue its national leadership in solid waste reduction efforts by:</w:t>
      </w:r>
    </w:p>
    <w:p>
      <w:pPr>
        <w:spacing w:before="0" w:after="0" w:line="408" w:lineRule="exact"/>
        <w:ind w:left="0" w:right="0" w:firstLine="576"/>
        <w:jc w:val="left"/>
      </w:pPr>
      <w:r>
        <w:rPr/>
        <w:t xml:space="preserve">(a) Improving efficiencies in the food production and distribution system in order to reduce the cradle to grave greenhouse gas emissions associated with wasted food;</w:t>
      </w:r>
    </w:p>
    <w:p>
      <w:pPr>
        <w:spacing w:before="0" w:after="0" w:line="408" w:lineRule="exact"/>
        <w:ind w:left="0" w:right="0" w:firstLine="576"/>
        <w:jc w:val="left"/>
      </w:pPr>
      <w:r>
        <w:rPr/>
        <w:t xml:space="preserve">(b) Fighting hunger by more efficiently diverting surplus food to feed hungry individuals and families in need; and</w:t>
      </w:r>
    </w:p>
    <w:p>
      <w:pPr>
        <w:spacing w:before="0" w:after="0" w:line="408" w:lineRule="exact"/>
        <w:ind w:left="0" w:right="0" w:firstLine="576"/>
        <w:jc w:val="left"/>
      </w:pPr>
      <w:r>
        <w:rPr/>
        <w:t xml:space="preserve">(c) Supporting expansion of management facilities for inedible food waste to improve access and facility performance while reducing the volumes of food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p>
    <w:p>
      <w:pPr>
        <w:spacing w:before="0" w:after="0" w:line="408" w:lineRule="exact"/>
        <w:ind w:left="0" w:right="0" w:firstLine="576"/>
        <w:jc w:val="left"/>
      </w:pPr>
      <w:r>
        <w:rPr/>
        <w:t xml:space="preserve">(vi) Facilitate and encourage restaurants and other retail food establishments to safely donate food to food banks and food assistance programs through education and outreach to retail food establishment operators regarding safe food donation opportunities, practices, and benefits.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including changes to food quality, labeling, and inspection requirements under chapter 69.80 RCW and any changes in laws relating to the donation of food waste or wasted food for animals,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w:t>
      </w:r>
      <w:r>
        <w:rPr>
          <w:u w:val="single"/>
        </w:rPr>
        <w:t xml:space="preserve">Recipients under this subsection include programs to reduce wasted food and food waste that are designed to achieve the goals established in section 2(1) of this act and that are consistent with the plan developed in section 2(3) of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w:t>
      </w:r>
      <w:r>
        <w:t>((</w:t>
      </w:r>
      <w:r>
        <w:rPr>
          <w:strike/>
        </w:rPr>
        <w:t xml:space="preserve">and</w:t>
      </w:r>
      <w:r>
        <w:t>))</w:t>
      </w:r>
      <w:r>
        <w:rPr/>
        <w:t xml:space="preserve"> (iii) increase access to waste reduction, composting, and recycling programs, particularly for food packaging and plastic bags and appropriate composting techniques</w:t>
      </w:r>
      <w:r>
        <w:rPr>
          <w:u w:val="single"/>
        </w:rPr>
        <w:t xml:space="preserve">; and (iv) for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
      <w:pPr>
        <w:jc w:val="center"/>
      </w:pPr>
      <w:r>
        <w:rPr>
          <w:b/>
        </w:rPr>
        <w:t>--- END ---</w:t>
      </w:r>
    </w:p>
    <w:sectPr>
      <w:pgNumType w:start="1"/>
      <w:footerReference xmlns:r="http://schemas.openxmlformats.org/officeDocument/2006/relationships" r:id="Rd14a7e4d4aff4a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eba973aa94633" /><Relationship Type="http://schemas.openxmlformats.org/officeDocument/2006/relationships/footer" Target="/word/footer1.xml" Id="Rd14a7e4d4aff4ae8" /></Relationships>
</file>