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a6a2101d8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60</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37</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Fitzgibbon, Stanford, Tarleton, Ortiz-Self, Lekanoff, Doglio, Macri, and Pollet)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 Before the department may take any enforcement action against a person pursuant to this section, the department shall first attempt to achieve voluntary compliance. As part of this first response, the department shall offer information and technical assistance to the person in writing identifying one or more means to accomplish the person's purposes within the framework of the law.</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 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 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 water or within the ordinary high water line in fresh 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bdc1c85f92e3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ee26ee2804cdc" /><Relationship Type="http://schemas.openxmlformats.org/officeDocument/2006/relationships/footer" Target="/word/footer1.xml" Id="Rbdc1c85f92e34d40" /></Relationships>
</file>