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24e867e1b4a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1311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63</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31</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Ortiz-Self, Stonier, Dolan, Frame, Paul, Ryu, Sells, Valdez, Lekanoff, Stanford,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reenacting and amending RCW 28B.118.010;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r>
        <w:rPr>
          <w:u w:val="single"/>
        </w:rPr>
        <w:t xml:space="preserve">.</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r>
        <w:rPr/>
        <w:t xml:space="preserve">;</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nine</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or ninth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College bound scholarship eligible students whose family income exceeds sixty-five percent of the state median family income, but who are eligible for the state need grant, shall be prioritized and awarded the maximum state need grant for which the student is eligible;</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bb27e8708924c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ae474d7144b94" /><Relationship Type="http://schemas.openxmlformats.org/officeDocument/2006/relationships/footer" Target="/word/footer1.xml" Id="Rfbb27e8708924c91" /></Relationships>
</file>