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494f723e448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60</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Irwin, Jinkins, Fey, Leavitt, and Ortiz-Self)</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jurisdiction of temporary protection orders; and amending RCW 10.14.150.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150</w:t>
      </w:r>
      <w:r>
        <w:rPr/>
        <w:t xml:space="preserve"> and 2011 c 307 s 1 are each amended to read as follows:</w:t>
      </w:r>
    </w:p>
    <w:p>
      <w:pPr>
        <w:spacing w:before="0" w:after="0" w:line="408" w:lineRule="exact"/>
        <w:ind w:left="0" w:right="0" w:firstLine="576"/>
        <w:jc w:val="left"/>
      </w:pPr>
      <w:r>
        <w:rPr/>
        <w:t xml:space="preserve">(1) The district courts shall have original jurisdiction and cognizance of any civil actions and proceedings brought under this chapter, except the district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civil actions and proceedings brought under this chapter by adoption of local court rule, except the municipal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(3) </w:t>
      </w:r>
      <w:r>
        <w:rPr>
          <w:u w:val="single"/>
        </w:rPr>
        <w:t xml:space="preserve">The civil jurisdiction of district and municipal courts under this chapter is limited to the issuance and enforcement of temporary orders for protection in cases that require transfer to superior court under subsections (1) and (2) of this section. The district or municipal court shall transfer the case to superior court after the temporary order is entered.</w:t>
      </w:r>
    </w:p>
    <w:p>
      <w:pPr>
        <w:spacing w:before="0" w:after="0" w:line="408" w:lineRule="exact"/>
        <w:ind w:left="0" w:right="0" w:firstLine="576"/>
        <w:jc w:val="left"/>
      </w:pPr>
      <w:r>
        <w:rPr>
          <w:u w:val="single"/>
        </w:rPr>
        <w:t xml:space="preserve">(4)</w:t>
      </w:r>
      <w:r>
        <w:rPr/>
        <w:t xml:space="preserve">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u w:val="single"/>
        </w:rPr>
        <w:t xml:space="preserve">(5)</w:t>
      </w:r>
      <w:r>
        <w:rPr/>
        <w:t xml:space="preserve"> The municipal and district courts shall have jurisdiction and cognizance of any criminal actions brought under RCW 10.14.120 and 10.14.170.</w:t>
      </w:r>
    </w:p>
    <w:p/>
    <w:p>
      <w:pPr>
        <w:jc w:val="center"/>
      </w:pPr>
      <w:r>
        <w:rPr>
          <w:b/>
        </w:rPr>
        <w:t>--- END ---</w:t>
      </w:r>
    </w:p>
    <w:sectPr>
      <w:pgNumType w:start="1"/>
      <w:footerReference xmlns:r="http://schemas.openxmlformats.org/officeDocument/2006/relationships" r:id="Re0a4719c0a56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2b4f71ac4546e4" /><Relationship Type="http://schemas.openxmlformats.org/officeDocument/2006/relationships/footer" Target="/word/footer1.xml" Id="Re0a4719c0a564826" /></Relationships>
</file>