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236e662ae4e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1646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56</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Eslick, Senn, Corry, Irwin, Griffey, Lovick, Graham, Davis, Frame, Appleton, Jinkins, Valdez,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13.40.300, 13.40.0357, 13.04.030, and 13.40.110; amending 2018 c 162 s 9 (uncodified); adding new sections to chapter 72.01 RCW; adding a new section to chapter 43.216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and young adults in the adult criminal justice system. The legislature acknowledges that transferring youth and young adults to the adult criminal justice system is not effective in reducing future criminal behavior. Youth and young adults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In doing so, the legislature takes advantage of recent changes made by congress during the reauthorization of the juvenile justice and delinquency prevention act by the juvenile justice reform act of 2018 that allow youth and young adults who at the time of their offense are younger than the maximum age of confinement in a juvenile correctional facility, to be placed in a juvenile correctional facility by operation of state law. The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 under the age of eighteen</w:t>
      </w:r>
      <w:r>
        <w:t>))</w:t>
      </w:r>
      <w:r>
        <w:rPr/>
        <w:t xml:space="preserve"> </w:t>
      </w:r>
      <w:r>
        <w:rPr>
          <w:u w:val="single"/>
        </w:rPr>
        <w:t xml:space="preserve">person</w:t>
      </w:r>
      <w:r>
        <w:rPr/>
        <w:t xml:space="preserve"> is convicted as an adult in the courts of this state of a </w:t>
      </w:r>
      <w:r>
        <w:t>((</w:t>
      </w:r>
      <w:r>
        <w:rPr>
          <w:strike/>
        </w:rPr>
        <w:t xml:space="preserve">crime amounting to a</w:t>
      </w:r>
      <w:r>
        <w:t>))</w:t>
      </w:r>
      <w:r>
        <w:rPr/>
        <w:t xml:space="preserve"> felony </w:t>
      </w:r>
      <w:r>
        <w:rPr>
          <w:u w:val="single"/>
        </w:rPr>
        <w:t xml:space="preserve">offense committed under the age of eighteen</w:t>
      </w:r>
      <w:r>
        <w:rPr/>
        <w:t xml:space="preserve">, and is committed for a term of confinement, that </w:t>
      </w:r>
      <w:r>
        <w:t>((</w:t>
      </w:r>
      <w:r>
        <w:rPr>
          <w:strike/>
        </w:rPr>
        <w:t xml:space="preserve">child</w:t>
      </w:r>
      <w:r>
        <w:t>))</w:t>
      </w:r>
      <w:r>
        <w:rPr/>
        <w:t xml:space="preserve"> </w:t>
      </w:r>
      <w:r>
        <w:rPr>
          <w:u w:val="single"/>
        </w:rPr>
        <w:t xml:space="preserve">person</w:t>
      </w:r>
      <w:r>
        <w:rPr/>
        <w:t xml:space="preserve"> shall be initially placed in a facility operated by the department of </w:t>
      </w:r>
      <w:r>
        <w:t>((</w:t>
      </w:r>
      <w:r>
        <w:rPr>
          <w:strike/>
        </w:rPr>
        <w:t xml:space="preserve">corrections to</w:t>
      </w:r>
      <w:r>
        <w:t>))</w:t>
      </w:r>
      <w:r>
        <w:rPr/>
        <w:t xml:space="preserve"> </w:t>
      </w:r>
      <w:r>
        <w:rPr>
          <w:u w:val="single"/>
        </w:rPr>
        <w:t xml:space="preserve">children, youth, and families. The department of corrections shall</w:t>
      </w:r>
      <w:r>
        <w:rPr/>
        <w:t xml:space="preserve"> determine the </w:t>
      </w:r>
      <w:r>
        <w:t>((</w:t>
      </w:r>
      <w:r>
        <w:rPr>
          <w:strike/>
        </w:rPr>
        <w:t xml:space="preserve">child's</w:t>
      </w:r>
      <w:r>
        <w:t>))</w:t>
      </w:r>
      <w:r>
        <w:rPr/>
        <w:t xml:space="preserve"> </w:t>
      </w:r>
      <w:r>
        <w:rPr>
          <w:u w:val="single"/>
        </w:rPr>
        <w:t xml:space="preserve">person's</w:t>
      </w:r>
      <w:r>
        <w:rPr/>
        <w:t xml:space="preserve">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person</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person</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(d)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person</w:t>
      </w:r>
      <w:r>
        <w:rPr/>
        <w:t xml:space="preserve"> shall </w:t>
      </w:r>
      <w:r>
        <w:t>((</w:t>
      </w:r>
      <w:r>
        <w:rPr>
          <w:strike/>
        </w:rPr>
        <w:t xml:space="preserve">only</w:t>
      </w:r>
      <w:r>
        <w:t>))</w:t>
      </w:r>
      <w:r>
        <w:rPr/>
        <w:t xml:space="preserve"> </w:t>
      </w:r>
      <w:r>
        <w:rPr>
          <w:u w:val="single"/>
        </w:rPr>
        <w:t xml:space="preserve">not</w:t>
      </w:r>
      <w:r>
        <w:rPr/>
        <w:t xml:space="preserve"> be transferred </w:t>
      </w:r>
      <w:r>
        <w:t>((</w:t>
      </w:r>
      <w:r>
        <w:rPr>
          <w:strike/>
        </w:rPr>
        <w:t xml:space="preserve">back</w:t>
      </w:r>
      <w:r>
        <w:t>))</w:t>
      </w:r>
      <w:r>
        <w:rPr/>
        <w:t xml:space="preserve"> to the custody of the department of corrections </w:t>
      </w:r>
      <w:r>
        <w:t>((</w:t>
      </w:r>
      <w:r>
        <w:rPr>
          <w:strike/>
        </w:rPr>
        <w:t xml:space="preserve">with</w:t>
      </w:r>
      <w:r>
        <w:t>))</w:t>
      </w:r>
      <w:r>
        <w:rPr/>
        <w:t xml:space="preserve"> </w:t>
      </w:r>
      <w:r>
        <w:rPr>
          <w:u w:val="single"/>
        </w:rPr>
        <w:t xml:space="preserve">without</w:t>
      </w:r>
      <w:r>
        <w:rPr/>
        <w:t xml:space="preserve"> the approval of the department of children, youth, and families </w:t>
      </w:r>
      <w:r>
        <w:t>((</w:t>
      </w:r>
      <w:r>
        <w:rPr>
          <w:strike/>
        </w:rPr>
        <w:t xml:space="preserve">or when the child</w:t>
      </w:r>
      <w:r>
        <w:t>))</w:t>
      </w:r>
      <w:r>
        <w:rPr/>
        <w:t xml:space="preserve"> </w:t>
      </w:r>
      <w:r>
        <w:rPr>
          <w:u w:val="single"/>
        </w:rPr>
        <w:t xml:space="preserve">until the person</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person's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person</w:t>
      </w:r>
      <w:r>
        <w:rPr/>
        <w:t xml:space="preserve"> to community custody until the department of corrections has approved the </w:t>
      </w:r>
      <w:r>
        <w:t>((</w:t>
      </w:r>
      <w:r>
        <w:rPr>
          <w:strike/>
        </w:rPr>
        <w:t xml:space="preserve">child's</w:t>
      </w:r>
      <w:r>
        <w:t>))</w:t>
      </w:r>
      <w:r>
        <w:rPr/>
        <w:t xml:space="preserve"> </w:t>
      </w:r>
      <w:r>
        <w:rPr>
          <w:u w:val="single"/>
        </w:rPr>
        <w:t xml:space="preserve">person's</w:t>
      </w:r>
      <w:r>
        <w:rPr/>
        <w:t xml:space="preserve"> release plan pursuant to RCW 9.94A.729(5)(b). If a </w:t>
      </w:r>
      <w:r>
        <w:t>((</w:t>
      </w:r>
      <w:r>
        <w:rPr>
          <w:strike/>
        </w:rPr>
        <w:t xml:space="preserve">child</w:t>
      </w:r>
      <w:r>
        <w:t>))</w:t>
      </w:r>
      <w:r>
        <w:rPr/>
        <w:t xml:space="preserve"> </w:t>
      </w:r>
      <w:r>
        <w:rPr>
          <w:u w:val="single"/>
        </w:rPr>
        <w:t xml:space="preserve">person</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person</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person in a facility of the department of children, youth, and families</w:t>
      </w:r>
      <w:r>
        <w:rPr/>
        <w:t xml:space="preserve"> presents a </w:t>
      </w:r>
      <w:r>
        <w:rPr>
          <w:u w:val="single"/>
        </w:rPr>
        <w:t xml:space="preserve">significant</w:t>
      </w:r>
      <w:r>
        <w:rPr/>
        <w:t xml:space="preserve"> safety risk, the </w:t>
      </w:r>
      <w:r>
        <w:t>((</w:t>
      </w:r>
      <w:r>
        <w:rPr>
          <w:strike/>
        </w:rPr>
        <w:t xml:space="preserve">child may be returned</w:t>
      </w:r>
      <w:r>
        <w:t>))</w:t>
      </w:r>
      <w:r>
        <w:rPr/>
        <w:t xml:space="preserve"> </w:t>
      </w:r>
      <w:r>
        <w:rPr>
          <w:u w:val="single"/>
        </w:rPr>
        <w:t xml:space="preserve">department of children, youth, and families may transfer the person</w:t>
      </w:r>
      <w:r>
        <w:rPr/>
        <w:t xml:space="preserve"> to the custody of the department of corrections.</w:t>
      </w:r>
    </w:p>
    <w:p>
      <w:pPr>
        <w:spacing w:before="0" w:after="0" w:line="408" w:lineRule="exact"/>
        <w:ind w:left="0" w:right="0" w:firstLine="576"/>
        <w:jc w:val="left"/>
      </w:pPr>
      <w:r>
        <w:t>((</w:t>
      </w:r>
      <w:r>
        <w:rPr>
          <w:strike/>
        </w:rPr>
        <w:t xml:space="preserve">(b) If the child's earned release date is on or after the child's twenty-first birthday, the department of corrections shall, with the consent of the secretary of children, youth, and families, transfer the child to a facility or institution operated by the department of children, youth, and families. Despite the transfer,</w:t>
      </w:r>
      <w:r>
        <w:t>))</w:t>
      </w:r>
      <w:r>
        <w:rPr/>
        <w:t xml:space="preserve"> </w:t>
      </w:r>
      <w:r>
        <w:rPr>
          <w:u w:val="single"/>
        </w:rPr>
        <w:t xml:space="preserve">(d) T</w:t>
      </w:r>
      <w:r>
        <w:rPr/>
        <w:t xml:space="preserve">he department of corrections </w:t>
      </w:r>
      <w:r>
        <w:t>((</w:t>
      </w:r>
      <w:r>
        <w:rPr>
          <w:strike/>
        </w:rPr>
        <w:t xml:space="preserve">retains</w:t>
      </w:r>
      <w:r>
        <w:t>))</w:t>
      </w:r>
      <w:r>
        <w:rPr/>
        <w:t xml:space="preserve"> </w:t>
      </w:r>
      <w:r>
        <w:rPr>
          <w:u w:val="single"/>
        </w:rPr>
        <w:t xml:space="preserve">must retain</w:t>
      </w:r>
      <w:r>
        <w:rPr/>
        <w:t xml:space="preserve"> authority over custody decisions </w:t>
      </w:r>
      <w:r>
        <w:rPr>
          <w:u w:val="single"/>
        </w:rPr>
        <w:t xml:space="preserve">relating to a person whose earned release date is on or after the person's twenty-fifth birthday and who is placed in a facility operated by the department of children, youth, and families under this section, unless the person qualifies for partial confinement under section 6 of this act,</w:t>
      </w:r>
      <w:r>
        <w:rPr/>
        <w:t xml:space="preserve"> and must approve any leave from the facility. When the </w:t>
      </w:r>
      <w:r>
        <w:t>((</w:t>
      </w:r>
      <w:r>
        <w:rPr>
          <w:strike/>
        </w:rPr>
        <w:t xml:space="preserve">child</w:t>
      </w:r>
      <w:r>
        <w:t>))</w:t>
      </w:r>
      <w:r>
        <w:rPr/>
        <w:t xml:space="preserve"> </w:t>
      </w:r>
      <w:r>
        <w:rPr>
          <w:u w:val="single"/>
        </w:rPr>
        <w:t xml:space="preserve">person</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w:t>
      </w:r>
      <w:r>
        <w:rPr>
          <w:u w:val="single"/>
        </w:rPr>
        <w:t xml:space="preserve">, except as described under section 6 of this act</w:t>
      </w:r>
      <w:r>
        <w:rPr/>
        <w:t xml:space="preserve">. The department of children, youth, and families has all routine and day-to-day operations authority for the </w:t>
      </w:r>
      <w:r>
        <w:t>((</w:t>
      </w:r>
      <w:r>
        <w:rPr>
          <w:strike/>
        </w:rPr>
        <w:t xml:space="preserve">child</w:t>
      </w:r>
      <w:r>
        <w:t>))</w:t>
      </w:r>
      <w:r>
        <w:rPr/>
        <w:t xml:space="preserve"> </w:t>
      </w:r>
      <w:r>
        <w:rPr>
          <w:u w:val="single"/>
        </w:rPr>
        <w:t xml:space="preserve">person</w:t>
      </w:r>
      <w:r>
        <w:rPr/>
        <w:t xml:space="preserve"> while </w:t>
      </w:r>
      <w:r>
        <w:rPr>
          <w:u w:val="single"/>
        </w:rPr>
        <w:t xml:space="preserve">the person is</w:t>
      </w:r>
      <w:r>
        <w:rPr/>
        <w:t xml:space="preserve"> in its custody.</w:t>
      </w:r>
    </w:p>
    <w:p>
      <w:pPr>
        <w:spacing w:before="0" w:after="0" w:line="408" w:lineRule="exact"/>
        <w:ind w:left="0" w:right="0" w:firstLine="576"/>
        <w:jc w:val="left"/>
      </w:pPr>
      <w:r>
        <w:rPr/>
        <w:t xml:space="preserve">(2)(a) Except as provided in (b) and (c) of this subsection, </w:t>
      </w:r>
      <w:r>
        <w:t>((</w:t>
      </w:r>
      <w:r>
        <w:rPr>
          <w:strike/>
        </w:rPr>
        <w:t xml:space="preserve">an offender</w:t>
      </w:r>
      <w:r>
        <w:t>))</w:t>
      </w:r>
      <w:r>
        <w:rPr/>
        <w:t xml:space="preserve"> </w:t>
      </w:r>
      <w:r>
        <w:rPr>
          <w:u w:val="single"/>
        </w:rPr>
        <w:t xml:space="preserve">a person</w:t>
      </w:r>
      <w:r>
        <w:rPr/>
        <w:t xml:space="preserve">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w:t>
      </w:r>
      <w:r>
        <w:t>((</w:t>
      </w:r>
      <w:r>
        <w:rPr>
          <w:strike/>
        </w:rPr>
        <w:t xml:space="preserve">offenders</w:t>
      </w:r>
      <w:r>
        <w:t>))</w:t>
      </w:r>
      <w:r>
        <w:rPr/>
        <w:t xml:space="preserve"> </w:t>
      </w:r>
      <w:r>
        <w:rPr>
          <w:u w:val="single"/>
        </w:rPr>
        <w:t xml:space="preserve">other persons in custody who are</w:t>
      </w:r>
      <w:r>
        <w:rPr/>
        <w:t xml:space="preserve"> eighteen years of age or older, until the </w:t>
      </w:r>
      <w:r>
        <w:t>((</w:t>
      </w:r>
      <w:r>
        <w:rPr>
          <w:strike/>
        </w:rPr>
        <w:t xml:space="preserve">offender</w:t>
      </w:r>
      <w:r>
        <w:t>))</w:t>
      </w:r>
      <w:r>
        <w:rPr/>
        <w:t xml:space="preserve"> </w:t>
      </w:r>
      <w:r>
        <w:rPr>
          <w:u w:val="single"/>
        </w:rPr>
        <w:t xml:space="preserve">person</w:t>
      </w:r>
      <w:r>
        <w:rPr/>
        <w:t xml:space="preserve"> reaches the age of eighteen.</w:t>
      </w:r>
    </w:p>
    <w:p>
      <w:pPr>
        <w:spacing w:before="0" w:after="0" w:line="408" w:lineRule="exact"/>
        <w:ind w:left="0" w:right="0" w:firstLine="576"/>
        <w:jc w:val="left"/>
      </w:pPr>
      <w:r>
        <w:rPr/>
        <w:t xml:space="preserve">(b) </w:t>
      </w:r>
      <w:r>
        <w:t>((</w:t>
      </w:r>
      <w:r>
        <w:rPr>
          <w:strike/>
        </w:rPr>
        <w:t xml:space="preserve">An offender</w:t>
      </w:r>
      <w:r>
        <w:t>))</w:t>
      </w:r>
      <w:r>
        <w:rPr/>
        <w:t xml:space="preserve"> </w:t>
      </w:r>
      <w:r>
        <w:rPr>
          <w:u w:val="single"/>
        </w:rPr>
        <w:t xml:space="preserve">A person</w:t>
      </w:r>
      <w:r>
        <w:rPr/>
        <w:t xml:space="preserve"> who </w:t>
      </w:r>
      <w:r>
        <w:rPr>
          <w:u w:val="single"/>
        </w:rPr>
        <w:t xml:space="preserve">is transferred to the custody of the department of corrections and</w:t>
      </w:r>
      <w:r>
        <w:rPr/>
        <w:t xml:space="preserve"> reaches eighteen years of age may remain in a housing unit for </w:t>
      </w:r>
      <w:r>
        <w:t>((</w:t>
      </w:r>
      <w:r>
        <w:rPr>
          <w:strike/>
        </w:rPr>
        <w:t xml:space="preserve">offenders</w:t>
      </w:r>
      <w:r>
        <w:t>))</w:t>
      </w:r>
      <w:r>
        <w:rPr/>
        <w:t xml:space="preserve"> </w:t>
      </w:r>
      <w:r>
        <w:rPr>
          <w:u w:val="single"/>
        </w:rPr>
        <w:t xml:space="preserve">persons</w:t>
      </w:r>
      <w:r>
        <w:rPr/>
        <w:t xml:space="preserve"> under the age of eighteen if the secretary of corrections determines that: (i) The </w:t>
      </w:r>
      <w:r>
        <w:t>((</w:t>
      </w:r>
      <w:r>
        <w:rPr>
          <w:strike/>
        </w:rPr>
        <w:t xml:space="preserve">offender's</w:t>
      </w:r>
      <w:r>
        <w:t>))</w:t>
      </w:r>
      <w:r>
        <w:rPr/>
        <w:t xml:space="preserve"> </w:t>
      </w:r>
      <w:r>
        <w:rPr>
          <w:u w:val="single"/>
        </w:rPr>
        <w:t xml:space="preserve">person's</w:t>
      </w:r>
      <w:r>
        <w:rPr/>
        <w:t xml:space="preserve"> needs and the </w:t>
      </w:r>
      <w:r>
        <w:t>((</w:t>
      </w:r>
      <w:r>
        <w:rPr>
          <w:strike/>
        </w:rPr>
        <w:t xml:space="preserve">correctional</w:t>
      </w:r>
      <w:r>
        <w:t>))</w:t>
      </w:r>
      <w:r>
        <w:rPr/>
        <w:t xml:space="preserve"> </w:t>
      </w:r>
      <w:r>
        <w:rPr>
          <w:u w:val="single"/>
        </w:rPr>
        <w:t xml:space="preserve">rehabilitation</w:t>
      </w:r>
      <w:r>
        <w:rPr/>
        <w:t xml:space="preserve"> goals for the </w:t>
      </w:r>
      <w:r>
        <w:t>((</w:t>
      </w:r>
      <w:r>
        <w:rPr>
          <w:strike/>
        </w:rPr>
        <w:t xml:space="preserve">offender</w:t>
      </w:r>
      <w:r>
        <w:t>))</w:t>
      </w:r>
      <w:r>
        <w:rPr/>
        <w:t xml:space="preserve"> </w:t>
      </w:r>
      <w:r>
        <w:rPr>
          <w:u w:val="single"/>
        </w:rPr>
        <w:t xml:space="preserve">person</w:t>
      </w:r>
      <w:r>
        <w:rPr/>
        <w:t xml:space="preserve"> could continue to be better met by the programs and housing environment that is separate from </w:t>
      </w:r>
      <w:r>
        <w:t>((</w:t>
      </w:r>
      <w:r>
        <w:rPr>
          <w:strike/>
        </w:rPr>
        <w:t xml:space="preserve">offenders</w:t>
      </w:r>
      <w:r>
        <w:t>))</w:t>
      </w:r>
      <w:r>
        <w:rPr/>
        <w:t xml:space="preserve"> </w:t>
      </w:r>
      <w:r>
        <w:rPr>
          <w:u w:val="single"/>
        </w:rPr>
        <w:t xml:space="preserve">other persons in custody who are</w:t>
      </w:r>
      <w:r>
        <w:rPr/>
        <w:t xml:space="preserve"> eighteen years of age and older; and (ii) the programs or housing environment for </w:t>
      </w:r>
      <w:r>
        <w:t>((</w:t>
      </w:r>
      <w:r>
        <w:rPr>
          <w:strike/>
        </w:rPr>
        <w:t xml:space="preserve">offenders</w:t>
      </w:r>
      <w:r>
        <w:t>))</w:t>
      </w:r>
      <w:r>
        <w:rPr/>
        <w:t xml:space="preserve"> </w:t>
      </w:r>
      <w:r>
        <w:rPr>
          <w:u w:val="single"/>
        </w:rPr>
        <w:t xml:space="preserve">persons</w:t>
      </w:r>
      <w:r>
        <w:rPr/>
        <w:t xml:space="preserve"> under the age of eighteen will not be substantially affected by the continued placement of the </w:t>
      </w:r>
      <w:r>
        <w:t>((</w:t>
      </w:r>
      <w:r>
        <w:rPr>
          <w:strike/>
        </w:rPr>
        <w:t xml:space="preserve">offender</w:t>
      </w:r>
      <w:r>
        <w:t>))</w:t>
      </w:r>
      <w:r>
        <w:rPr/>
        <w:t xml:space="preserve"> </w:t>
      </w:r>
      <w:r>
        <w:rPr>
          <w:u w:val="single"/>
        </w:rPr>
        <w:t xml:space="preserve">person</w:t>
      </w:r>
      <w:r>
        <w:rPr/>
        <w:t xml:space="preserve"> in that environment. The </w:t>
      </w:r>
      <w:r>
        <w:t>((</w:t>
      </w:r>
      <w:r>
        <w:rPr>
          <w:strike/>
        </w:rPr>
        <w:t xml:space="preserve">offender</w:t>
      </w:r>
      <w:r>
        <w:t>))</w:t>
      </w:r>
      <w:r>
        <w:rPr/>
        <w:t xml:space="preserve"> </w:t>
      </w:r>
      <w:r>
        <w:rPr>
          <w:u w:val="single"/>
        </w:rPr>
        <w:t xml:space="preserve">person</w:t>
      </w:r>
      <w:r>
        <w:rPr/>
        <w:t xml:space="preserve"> may remain placed in a housing unit for </w:t>
      </w:r>
      <w:r>
        <w:t>((</w:t>
      </w:r>
      <w:r>
        <w:rPr>
          <w:strike/>
        </w:rPr>
        <w:t xml:space="preserve">offenders</w:t>
      </w:r>
      <w:r>
        <w:t>))</w:t>
      </w:r>
      <w:r>
        <w:rPr/>
        <w:t xml:space="preserve"> </w:t>
      </w:r>
      <w:r>
        <w:rPr>
          <w:u w:val="single"/>
        </w:rPr>
        <w:t xml:space="preserve">persons</w:t>
      </w:r>
      <w:r>
        <w:rPr/>
        <w:t xml:space="preserve"> under the age of eighteen until such time as the secretary of corrections determines that the </w:t>
      </w:r>
      <w:r>
        <w:t>((</w:t>
      </w:r>
      <w:r>
        <w:rPr>
          <w:strike/>
        </w:rPr>
        <w:t xml:space="preserve">offender's</w:t>
      </w:r>
      <w:r>
        <w:t>))</w:t>
      </w:r>
      <w:r>
        <w:rPr/>
        <w:t xml:space="preserve"> </w:t>
      </w:r>
      <w:r>
        <w:rPr>
          <w:u w:val="single"/>
        </w:rPr>
        <w:t xml:space="preserve">person's</w:t>
      </w:r>
      <w:r>
        <w:rPr/>
        <w:t xml:space="preserve"> needs and </w:t>
      </w:r>
      <w:r>
        <w:t>((</w:t>
      </w:r>
      <w:r>
        <w:rPr>
          <w:strike/>
        </w:rPr>
        <w:t xml:space="preserve">correctional</w:t>
      </w:r>
      <w:r>
        <w:t>))</w:t>
      </w:r>
      <w:r>
        <w:rPr/>
        <w:t xml:space="preserve"> goals are no longer better met in that environment but in no case past the </w:t>
      </w:r>
      <w:r>
        <w:t>((</w:t>
      </w:r>
      <w:r>
        <w:rPr>
          <w:strike/>
        </w:rPr>
        <w:t xml:space="preserve">offender's twenty-first</w:t>
      </w:r>
      <w:r>
        <w:t>))</w:t>
      </w:r>
      <w:r>
        <w:rPr/>
        <w:t xml:space="preserve"> </w:t>
      </w:r>
      <w:r>
        <w:rPr>
          <w:u w:val="single"/>
        </w:rPr>
        <w:t xml:space="preserve">person's twenty-fifth</w:t>
      </w:r>
      <w:r>
        <w:rPr/>
        <w:t xml:space="preserve"> birthday.</w:t>
      </w:r>
    </w:p>
    <w:p>
      <w:pPr>
        <w:spacing w:before="0" w:after="0" w:line="408" w:lineRule="exact"/>
        <w:ind w:left="0" w:right="0" w:firstLine="576"/>
        <w:jc w:val="left"/>
      </w:pPr>
      <w:r>
        <w:rPr/>
        <w:t xml:space="preserve">(c) </w:t>
      </w:r>
      <w:r>
        <w:t>((</w:t>
      </w:r>
      <w:r>
        <w:rPr>
          <w:strike/>
        </w:rPr>
        <w:t xml:space="preserve">An offender</w:t>
      </w:r>
      <w:r>
        <w:t>))</w:t>
      </w:r>
      <w:r>
        <w:rPr/>
        <w:t xml:space="preserve"> </w:t>
      </w:r>
      <w:r>
        <w:rPr>
          <w:u w:val="single"/>
        </w:rPr>
        <w:t xml:space="preserve">A person 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 person over age twenty-one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twenty-three if the person's commitment period in a juvenile institution extends beyond the person's twenty-third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beyond the juvenile offender's twenty-first birthday.</w:t>
      </w:r>
    </w:p>
    <w:p>
      <w:pPr>
        <w:spacing w:before="0" w:after="0" w:line="408" w:lineRule="exact"/>
        <w:ind w:left="0" w:right="0" w:firstLine="576"/>
        <w:jc w:val="left"/>
      </w:pPr>
      <w:r>
        <w:rPr/>
        <w:t xml:space="preserve">(2)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in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person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person in the custody of the department of corrections on the effective date of this section, who was under the age of eighteen at the time of the commission of the offense and who was convicted as an adult, and who has not yet reached the age of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 person identified in subsection (2)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persons from the department of corrections to the department of children, youth, and families pursuant to subsection (2) of this section. The multidisciplinary interagency team must include a minimum of three representatives from the department of corrections and three representatives from the department of children, youth, and families, and must provide the person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person, staff, and other persons in the custody of the department of children, youth, and families;</w:t>
      </w:r>
    </w:p>
    <w:p>
      <w:pPr>
        <w:spacing w:before="0" w:after="0" w:line="408" w:lineRule="exact"/>
        <w:ind w:left="0" w:right="0" w:firstLine="576"/>
        <w:jc w:val="left"/>
      </w:pPr>
      <w:r>
        <w:rPr/>
        <w:t xml:space="preserve">(ii) The person's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person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u w:val="single"/>
        </w:rPr>
        <w:t xml:space="preserve">(1)</w:t>
      </w:r>
      <w:r>
        <w:rPr/>
        <w:t xml:space="preserve"> The Washington state institute for public policy must</w:t>
      </w:r>
      <w:r>
        <w:rPr>
          <w:u w:val="single"/>
        </w:rPr>
        <w:t xml:space="preserve">:</w:t>
      </w:r>
    </w:p>
    <w:p>
      <w:pPr>
        <w:spacing w:before="0" w:after="0" w:line="408" w:lineRule="exact"/>
        <w:ind w:left="0" w:right="0" w:firstLine="576"/>
        <w:jc w:val="left"/>
      </w:pPr>
      <w:r>
        <w:rPr>
          <w:u w:val="single"/>
        </w:rPr>
        <w:t xml:space="preserve">(a) A</w:t>
      </w:r>
      <w:r>
        <w:rPr/>
        <w:t xml:space="preserve">ssess the impact of </w:t>
      </w:r>
      <w:r>
        <w:t>((</w:t>
      </w:r>
      <w:r>
        <w:rPr>
          <w:strike/>
        </w:rPr>
        <w:t xml:space="preserve">this act</w:t>
      </w:r>
      <w:r>
        <w:t>))</w:t>
      </w:r>
      <w:r>
        <w:rPr/>
        <w:t xml:space="preserve"> </w:t>
      </w:r>
      <w:r>
        <w:rPr>
          <w:u w:val="single"/>
        </w:rPr>
        <w:t xml:space="preserve">chapter 162, Laws of 2018, and sections 2 through 6, chapter . . ., Laws of 2019 (sections 2 through 6 of this act)</w:t>
      </w:r>
      <w:r>
        <w:rPr/>
        <w:t xml:space="preserve"> on community safety, racial disproportionality, recidivism, state expenditures, and youth rehabilitation, to the extent possible</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u w:val="single"/>
        </w:rPr>
        <w:t xml:space="preserve">(2) The institute shall</w:t>
      </w:r>
      <w:r>
        <w:rPr/>
        <w:t xml:space="preserve"> submit, in compliance with RCW 43.01.036, a preliminary report </w:t>
      </w:r>
      <w:r>
        <w:rPr>
          <w:u w:val="single"/>
        </w:rPr>
        <w:t xml:space="preserve">on the requirements listed in subsection (1) of this section</w:t>
      </w:r>
      <w:r>
        <w:rPr/>
        <w:t xml:space="preserve">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person in the custody of the department of children, youth, and families under RCW 72.01.410 who has an earned release date that is after the person's twenty-fifth birthday but on or before the person's twenty-sixth birthday may, after turning twenty-five, serve the remainder of the person's term of confinement in partial confinement on electronic home monitoring under the authority and supervision of the department of children, youth, and families, provided that the department of children, youth, and families determines that such placement and retention by the department of children, youth, and families is in the best interests of the person and the community.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(2) A person placed on electronic home monitoring under this section must otherwise continue to be subject to similar treatment, options, access to programs and resources, conditions, and restrictions applicable to other similarly situated persons under the jurisdiction of the department of children, youth, and families.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(3) If a person placed on electronic home monitoring under this section commits a violation requiring the return of the person to total confinement, the person must be transferred to the custody and supervision of the department of corrections for the remainder of the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meet regularly with the school districts that educate students who are in the custody of medium and maximum security facilities operated by juvenile rehabilitation to help coordinate activities in areas of common interest, such as communication with parents. The office of the superintendent of public instruction shall facilitate upon request of the department.</w:t>
      </w:r>
    </w:p>
    <w:p>
      <w:pPr>
        <w:spacing w:before="0" w:after="0" w:line="408" w:lineRule="exact"/>
        <w:ind w:left="0" w:right="0" w:firstLine="576"/>
        <w:jc w:val="left"/>
      </w:pPr>
      <w:r>
        <w:rPr/>
        <w:t xml:space="preserve">(2) The office of the superintendent of public instruction, in collaboration with the department, shall create a comprehensive plan for the education of students in juvenile rehabilitation and provide it to the governor and relevant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p>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any age and is charged with custodial assault, RCW 9A.36.100, and, at the time the respondent is charged, is already serving a minimum juvenile sentence to age twenty-one</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sections 1 through 6 of this act are null and void.</w:t>
      </w:r>
    </w:p>
    <w:p/>
    <w:p>
      <w:pPr>
        <w:jc w:val="center"/>
      </w:pPr>
      <w:r>
        <w:rPr>
          <w:b/>
        </w:rPr>
        <w:t>--- END ---</w:t>
      </w:r>
    </w:p>
    <w:sectPr>
      <w:pgNumType w:start="1"/>
      <w:footerReference xmlns:r="http://schemas.openxmlformats.org/officeDocument/2006/relationships" r:id="R97cc52a9128d4a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d45ef84934ef4" /><Relationship Type="http://schemas.openxmlformats.org/officeDocument/2006/relationships/footer" Target="/word/footer1.xml" Id="R97cc52a9128d4a1e" /></Relationships>
</file>