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59d9141a5f4d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Representatives Doglio, DeBolt, Dolan, Walsh, Blake, Springer, Tarleton, and Pollet;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new sections to chapter 43.07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(2) 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constructing a new building funded by a financing contract entered into by the secretary of state pursuant to chapter 39.94 RCW. The principal and interest requirements of the financing contract will be serviced by existing rents, existing fees, and a new fee on documents recorded at county recording offices.</w:t>
      </w:r>
    </w:p>
    <w:p>
      <w:pPr>
        <w:spacing w:before="0" w:after="0" w:line="408" w:lineRule="exact"/>
        <w:ind w:left="0" w:right="0" w:firstLine="576"/>
        <w:jc w:val="left"/>
      </w:pPr>
      <w:r>
        <w:rPr/>
        <w:t xml:space="preserve">(3) 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secretary of state's office shall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financing contract entered into by the secretary of state for the Washington state library-archives building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w:t>
      </w:r>
      <w:r>
        <w:t>((</w:t>
      </w:r>
      <w:r>
        <w:rPr>
          <w:strike/>
        </w:rPr>
        <w:t xml:space="preserve">certificate of participation issued</w:t>
      </w:r>
      <w:r>
        <w:t>))</w:t>
      </w:r>
      <w:r>
        <w:rPr/>
        <w:t xml:space="preserve"> </w:t>
      </w:r>
      <w:r>
        <w:rPr>
          <w:u w:val="single"/>
        </w:rPr>
        <w:t xml:space="preserve">financing contract entered into by the secretary of state</w:t>
      </w:r>
      <w:r>
        <w:rPr/>
        <w:t xml:space="preserve">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
      <w:pPr>
        <w:jc w:val="center"/>
      </w:pPr>
      <w:r>
        <w:rPr>
          <w:b/>
        </w:rPr>
        <w:t>--- END ---</w:t>
      </w:r>
    </w:p>
    <w:sectPr>
      <w:pgNumType w:start="1"/>
      <w:footerReference xmlns:r="http://schemas.openxmlformats.org/officeDocument/2006/relationships" r:id="R58ff7bbeac2745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f856c07ae4e13" /><Relationship Type="http://schemas.openxmlformats.org/officeDocument/2006/relationships/footer" Target="/word/footer1.xml" Id="R58ff7bbeac27453d" /></Relationships>
</file>