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d6726e040a48c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2018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34</w:t>
            </w:r>
            <w:r>
              <w:t xml:space="preserve">  Nays </w:t>
              <w:t xml:space="preserve">11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2018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2018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Morgan, Jinkins, Harris, Bergquist, Appleton, Cody, Tharinger, Pollet, Fey, Tarleton, Goodman, Pettigrew, Doglio, Senn, Lovick, Dolan, Kilduff, Ryu, Thai, Stanford, Lekanoff, Wylie, Slatter, Hansen, Shewmake, Robinson, Chapman, Santos, Walen, Chopp, Fitzgibbon, Hudgins, Leavitt, Macri, Valdez, Irwin, Reeves, Pellicciotti, Frame, and Ormsby)</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harassment and discrimination by legislators and legislative branch employees; and amending RCW 42.52.070.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070</w:t>
      </w:r>
      <w:r>
        <w:rPr/>
        <w:t xml:space="preserve"> and 1994 c 154 s 107 are each amended to read as follows:</w:t>
      </w:r>
    </w:p>
    <w:p>
      <w:pPr>
        <w:spacing w:before="0" w:after="0" w:line="408" w:lineRule="exact"/>
        <w:ind w:left="0" w:right="0" w:firstLine="576"/>
        <w:jc w:val="left"/>
      </w:pPr>
      <w:r>
        <w:rPr>
          <w:u w:val="single"/>
        </w:rPr>
        <w:t xml:space="preserve">(1)</w:t>
      </w:r>
      <w:r>
        <w:rPr/>
        <w:t xml:space="preserve"> Except as required to perform duties within the scope of employment, no state officer or state employee may use his or her position to secure special privileges or exemptions for himself or herself, or his or her spouse, child, parents, or other persons.</w:t>
      </w:r>
    </w:p>
    <w:p>
      <w:pPr>
        <w:spacing w:before="0" w:after="0" w:line="408" w:lineRule="exact"/>
        <w:ind w:left="0" w:right="0" w:firstLine="576"/>
        <w:jc w:val="left"/>
      </w:pPr>
      <w:r>
        <w:rPr>
          <w:u w:val="single"/>
        </w:rPr>
        <w:t xml:space="preserve">(2) For purposes of this section, and only as applied to legislators and employees of the legislative branch, "special privileges" includes, but is not limited to, engaging in behavior that constitutes harassment. As used in this section:</w:t>
      </w:r>
    </w:p>
    <w:p>
      <w:pPr>
        <w:spacing w:before="0" w:after="0" w:line="408" w:lineRule="exact"/>
        <w:ind w:left="0" w:right="0" w:firstLine="576"/>
        <w:jc w:val="left"/>
      </w:pPr>
      <w:r>
        <w:rPr>
          <w:u w:val="single"/>
        </w:rPr>
        <w:t xml:space="preserve">(a) "Harassment" means engaging in physical, verbal, visual, or psychological conduct that:</w:t>
      </w:r>
    </w:p>
    <w:p>
      <w:pPr>
        <w:spacing w:before="0" w:after="0" w:line="408" w:lineRule="exact"/>
        <w:ind w:left="0" w:right="0" w:firstLine="576"/>
        <w:jc w:val="left"/>
      </w:pPr>
      <w:r>
        <w:rPr>
          <w:u w:val="single"/>
        </w:rPr>
        <w:t xml:space="preserve">(i) Has the purpose or effect of interfering with the person's work performance;</w:t>
      </w:r>
    </w:p>
    <w:p>
      <w:pPr>
        <w:spacing w:before="0" w:after="0" w:line="408" w:lineRule="exact"/>
        <w:ind w:left="0" w:right="0" w:firstLine="576"/>
        <w:jc w:val="left"/>
      </w:pPr>
      <w:r>
        <w:rPr>
          <w:u w:val="single"/>
        </w:rPr>
        <w:t xml:space="preserve">(ii) Creates a hostile, intimidating, or offensive work environment; or</w:t>
      </w:r>
    </w:p>
    <w:p>
      <w:pPr>
        <w:spacing w:before="0" w:after="0" w:line="408" w:lineRule="exact"/>
        <w:ind w:left="0" w:right="0" w:firstLine="576"/>
        <w:jc w:val="left"/>
      </w:pPr>
      <w:r>
        <w:rPr>
          <w:u w:val="single"/>
        </w:rPr>
        <w:t xml:space="preserve">(iii) Constitutes sexual harassment.</w:t>
      </w:r>
    </w:p>
    <w:p>
      <w:pPr>
        <w:spacing w:before="0" w:after="0" w:line="408" w:lineRule="exact"/>
        <w:ind w:left="0" w:right="0" w:firstLine="576"/>
        <w:jc w:val="left"/>
      </w:pPr>
      <w:r>
        <w:rPr>
          <w:u w:val="single"/>
        </w:rPr>
        <w:t xml:space="preserve">(b) "Sexual harassment" means unwelcome or unwanted sexual advances, requests for sexual or romantic favors, sexually motivated bullying, or other verbal, visual, physical, or psychological conduct or communication of a sexual or romantic nature, when:</w:t>
      </w:r>
    </w:p>
    <w:p>
      <w:pPr>
        <w:spacing w:before="0" w:after="0" w:line="408" w:lineRule="exact"/>
        <w:ind w:left="0" w:right="0" w:firstLine="576"/>
        <w:jc w:val="left"/>
      </w:pPr>
      <w:r>
        <w:rPr>
          <w:u w:val="single"/>
        </w:rPr>
        <w:t xml:space="preserve">(i) Submission to the conduct or communication is either explicitly or implicitly a term or condition of current or future employment;</w:t>
      </w:r>
    </w:p>
    <w:p>
      <w:pPr>
        <w:spacing w:before="0" w:after="0" w:line="408" w:lineRule="exact"/>
        <w:ind w:left="0" w:right="0" w:firstLine="576"/>
        <w:jc w:val="left"/>
      </w:pPr>
      <w:r>
        <w:rPr>
          <w:u w:val="single"/>
        </w:rPr>
        <w:t xml:space="preserve">(ii) Submission to or rejection of the conduct or communication is used as the basis of an employment decision affecting the person; or</w:t>
      </w:r>
    </w:p>
    <w:p>
      <w:pPr>
        <w:spacing w:before="0" w:after="0" w:line="408" w:lineRule="exact"/>
        <w:ind w:left="0" w:right="0" w:firstLine="576"/>
        <w:jc w:val="left"/>
      </w:pPr>
      <w:r>
        <w:rPr>
          <w:u w:val="single"/>
        </w:rPr>
        <w:t xml:space="preserve">(iii) The conduct or communication unreasonably interferes with the person's job performance or creates a work environment that is hostile, intimidating, or offensive.</w:t>
      </w:r>
    </w:p>
    <w:p/>
    <w:p>
      <w:pPr>
        <w:jc w:val="center"/>
      </w:pPr>
      <w:r>
        <w:rPr>
          <w:b/>
        </w:rPr>
        <w:t>--- END ---</w:t>
      </w:r>
    </w:p>
    <w:sectPr>
      <w:pgNumType w:start="1"/>
      <w:footerReference xmlns:r="http://schemas.openxmlformats.org/officeDocument/2006/relationships" r:id="R22e70050f3a842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2018.PL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7c51aa73124ee4" /><Relationship Type="http://schemas.openxmlformats.org/officeDocument/2006/relationships/footer" Target="/word/footer1.xml" Id="R22e70050f3a84247" /></Relationships>
</file>