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d724198c446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91</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Slatter, Senn, Sells, Kilduff, Ryu, Peterson, Riccelli, Irwin, Walen, and Tarleton</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Storm special license plates to fund youth leadership and sports programs; amending RCW 46.18.200, 46.17.220, and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w:t>
            </w:r>
            <w:r>
              <w:rPr>
                <w:rFonts w:ascii="Times New Roman" w:hAnsi="Times New Roman"/>
                <w:sz w:val="16"/>
                <w:u w:val="single"/>
              </w:rPr>
              <w:t xml:space="preserve">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d5a40fc36dd545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f48d2a6784fde" /><Relationship Type="http://schemas.openxmlformats.org/officeDocument/2006/relationships/footer" Target="/word/footer1.xml" Id="Rd5a40fc36dd545a5" /></Relationships>
</file>