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01c9a82ac4d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2965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2965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Cody, Schmick, Riccelli, Bergquist, Callan, Dufault, Hudgins, Leavitt, Shewmake, Tharinger, Maycumber, Ramos, Ortiz-Self, and Stonier</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response to the novel coronavirus; amending RCW 38.52.105, 50.20.010, and 28A.230.090; adding a new section to chapter 50.16 RCW; adding a new section to chapter 50.29 RCW; creating new sections;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seventy-five million dollars is appropriated from the budget stabilization account for the fiscal year ending June 30, 2020, and is provided solely for expenditure into the disaster response account, from which it may be appropriated solely for state and local government and federally recognized tribes' response to the novel coronavirus pursuant to the gubernatorial declaration of emergency of February 29, 2020. For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seventy-five million dollars is appropriated from the disaster response account and the sum of twenty-five million dollars is appropriated from the general fund</w:t>
      </w:r>
      <w:r>
        <w:rPr>
          <w:rFonts w:ascii="Times New Roman" w:hAnsi="Times New Roman"/>
        </w:rPr>
        <w:t xml:space="preserve">—</w:t>
      </w:r>
      <w:r>
        <w:rPr/>
        <w:t xml:space="preserve">federal to the office of financial management for the fiscal biennium ending June 30, 2021, and are provided solely for allotment to state agencies and for distribution to local governments and federally recognized tribes for response to the novel coronavirus pursuant to the gubernatorial declaration of emergency of February 29, 2020. The appropriations in this section are subject to the following conditions and limitations:</w:t>
      </w:r>
    </w:p>
    <w:p>
      <w:pPr>
        <w:spacing w:before="0" w:after="0" w:line="408" w:lineRule="exact"/>
        <w:ind w:left="0" w:right="0" w:firstLine="576"/>
        <w:jc w:val="left"/>
      </w:pPr>
      <w:r>
        <w:rPr/>
        <w:t xml:space="preserve">(1) The office of financial management must provide monthly updates on spending from this appropriation to the fiscal committees of the legislature.</w:t>
      </w:r>
    </w:p>
    <w:p>
      <w:pPr>
        <w:spacing w:before="0" w:after="0" w:line="408" w:lineRule="exact"/>
        <w:ind w:left="0" w:right="0" w:firstLine="576"/>
        <w:jc w:val="left"/>
      </w:pPr>
      <w:r>
        <w:rPr/>
        <w:t xml:space="preserve">(2) Funding from this section may not be used to supplant existing federal, state, tribal, and local funds for services and activities that will assist in the response to the novel coronavirus.</w:t>
      </w:r>
    </w:p>
    <w:p>
      <w:pPr>
        <w:spacing w:before="0" w:after="0" w:line="408" w:lineRule="exact"/>
        <w:ind w:left="0" w:right="0" w:firstLine="576"/>
        <w:jc w:val="left"/>
      </w:pPr>
      <w:r>
        <w:rPr/>
        <w:t xml:space="preserve">(3) Agencies, federally recognized tribes, and local governments must demonstrate maximum use of available federal funds for novel coronavirus response and recovery efforts before seeking funding from this appropriation. If an agency, federally recognized tribe, or local government subsequently receives reimbursement from federal sources of amounts spent from the appropriation in this section, the agency, federally recognized tribe, or local government must remit the federal funding to the state treasurer for reimbursement to the budget stabilization account.</w:t>
      </w:r>
    </w:p>
    <w:p>
      <w:pPr>
        <w:spacing w:before="0" w:after="0" w:line="408" w:lineRule="exact"/>
        <w:ind w:left="0" w:right="0" w:firstLine="576"/>
        <w:jc w:val="left"/>
      </w:pPr>
      <w:r>
        <w:rPr/>
        <w:t xml:space="preserve">(4) By July 1, 2021, the office of financial management must certify to the state treasurer the amount of any unobligated moneys in the disaster response account that are attributable to the budget stabilization account appropriation in section 1 of this act, and the treasurer must transfer those moneys back to the budget stabilization account.</w:t>
      </w:r>
    </w:p>
    <w:p>
      <w:pPr>
        <w:spacing w:before="0" w:after="0" w:line="408" w:lineRule="exact"/>
        <w:ind w:left="0" w:right="0" w:firstLine="576"/>
        <w:jc w:val="left"/>
      </w:pPr>
      <w:r>
        <w:rPr/>
        <w:t xml:space="preserve">(5) In order to facilitate the monthly reporting required by subsection (1) of this section and to increase transparency, the office of financial management must create unique appropriation and expenditure codes to be used in the statewide accounting and financial reporting system that must be used by state agencies and institutions of higher education to separately identify state spending by the appropriations in this act and for other unanticipated spending in response to the coronavirus (COVID-19) outbreak funded by appropriations in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million dollars is appropriated from the budget stabilization account for the fiscal year ending June 30, 2020, and is provided solely for expenditure into the COVID-19 unemployment account for the purposes described in section 5 of this act. For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COVID-19 unemployment account is created in the custody of the state treasurer. Revenues to the account shall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trust fund account for unemployment benefits paid to the approved employees of employers approved for such reimbursement pursuant to section 5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Any federal funding or relief for novel coronavirus that could be used for the purposes of section 5 of this act must be used first before spending from the account. Additionally, if the employment security department subsequently receives reimbursements from federal sources for amounts spent from the account, the department must remit the federal funding to the state treasurer for reimbursement to the budget stabilization account. If federal law or rules would prevent such remittance, the department must notify the office of financial management and the fiscal committees of the legislature within thirty days of receipt of the reimbursement.</w:t>
      </w:r>
    </w:p>
    <w:p>
      <w:pPr>
        <w:spacing w:before="0" w:after="0" w:line="408" w:lineRule="exact"/>
        <w:ind w:left="0" w:right="0" w:firstLine="576"/>
        <w:jc w:val="left"/>
      </w:pPr>
      <w:r>
        <w:rPr/>
        <w:t xml:space="preserve">(3) By July 1, 2021, the commissioner must certify to the state treasurer the amount of any unobligated moneys in the COVID-19 unemployment account that are attributable to the budget stabilization account appropriation in section 3 of this act, and the treasurer must transfer those moneys back to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September 30, 2020, a contribution paying employer may submit an application to the employment security department to have the approved benefits paid to approved employees be reimbursed by the COVID-19 unemployment account instead of charged to the employer's experience rating account. The application must be submitted in a form and manner approved by the department through rule.</w:t>
      </w:r>
    </w:p>
    <w:p>
      <w:pPr>
        <w:spacing w:before="0" w:after="0" w:line="408" w:lineRule="exact"/>
        <w:ind w:left="0" w:right="0" w:firstLine="576"/>
        <w:jc w:val="left"/>
      </w:pPr>
      <w:r>
        <w:rPr/>
        <w:t xml:space="preserve">(2) The department should not approve an application if the benefits paid will not otherwise be charged to the employer's experience rating account or if the employer was otherwise eligible to receive relief of benefit charges.</w:t>
      </w:r>
    </w:p>
    <w:p>
      <w:pPr>
        <w:spacing w:before="0" w:after="0" w:line="408" w:lineRule="exact"/>
        <w:ind w:left="0" w:right="0" w:firstLine="576"/>
        <w:jc w:val="left"/>
      </w:pPr>
      <w:r>
        <w:rPr/>
        <w:t xml:space="preserve">(3) If the department approves an employer's application, the department will not charge the forgiven benefits to the employer's experience rating account. The commissioner shall instead transfer from the COVID-19 unemployment account to the unemployment trust fund account an amount equal to the forgiven benefits.</w:t>
      </w:r>
    </w:p>
    <w:p>
      <w:pPr>
        <w:spacing w:before="0" w:after="0" w:line="408" w:lineRule="exact"/>
        <w:ind w:left="0" w:right="0" w:firstLine="576"/>
        <w:jc w:val="left"/>
      </w:pPr>
      <w:r>
        <w:rPr/>
        <w:t xml:space="preserve">(4) If the department rejects an employer's application, the department shall present the employer with the reasons why the application was rejected. The reasons for the rejection are final and nonappealable.</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"Approved employee" means an employee who:</w:t>
      </w:r>
    </w:p>
    <w:p>
      <w:pPr>
        <w:spacing w:before="0" w:after="0" w:line="408" w:lineRule="exact"/>
        <w:ind w:left="0" w:right="0" w:firstLine="576"/>
        <w:jc w:val="left"/>
      </w:pPr>
      <w:r>
        <w:rPr/>
        <w:t xml:space="preserve">(i) Was temporarily laid off as a direct or indirect consequence of an outbreak of COVID-19;</w:t>
      </w:r>
    </w:p>
    <w:p>
      <w:pPr>
        <w:spacing w:before="0" w:after="0" w:line="408" w:lineRule="exact"/>
        <w:ind w:left="0" w:right="0" w:firstLine="576"/>
        <w:jc w:val="left"/>
      </w:pPr>
      <w:r>
        <w:rPr/>
        <w:t xml:space="preserve">(ii) Was approved by the department to be on standby pursuant to rules adopted by the department;</w:t>
      </w:r>
    </w:p>
    <w:p>
      <w:pPr>
        <w:spacing w:before="0" w:after="0" w:line="408" w:lineRule="exact"/>
        <w:ind w:left="0" w:right="0" w:firstLine="576"/>
        <w:jc w:val="left"/>
      </w:pPr>
      <w:r>
        <w:rPr/>
        <w:t xml:space="preserve">(iii) Has returned to the same employment with the employer the employee had prior to the temporary unemployment; and</w:t>
      </w:r>
    </w:p>
    <w:p>
      <w:pPr>
        <w:spacing w:before="0" w:after="0" w:line="408" w:lineRule="exact"/>
        <w:ind w:left="0" w:right="0" w:firstLine="576"/>
        <w:jc w:val="left"/>
      </w:pPr>
      <w:r>
        <w:rPr/>
        <w:t xml:space="preserve">(iv) Meets other criteria the department may establish by rule.</w:t>
      </w:r>
    </w:p>
    <w:p>
      <w:pPr>
        <w:spacing w:before="0" w:after="0" w:line="408" w:lineRule="exact"/>
        <w:ind w:left="0" w:right="0" w:firstLine="576"/>
        <w:jc w:val="left"/>
      </w:pPr>
      <w:r>
        <w:rPr/>
        <w:t xml:space="preserve">(b) "Approved benefits" means benefits paid to an approved employee while the approved employee was on standby pursuant to rules adopted by the department.</w:t>
      </w:r>
    </w:p>
    <w:p>
      <w:pPr>
        <w:spacing w:before="0" w:after="0" w:line="408" w:lineRule="exact"/>
        <w:ind w:left="0" w:right="0" w:firstLine="576"/>
        <w:jc w:val="left"/>
      </w:pPr>
      <w:r>
        <w:rPr/>
        <w:t xml:space="preserve">(c) "Total approved benefits" means the sum total of all approved benefits paid to all approved employees.</w:t>
      </w:r>
    </w:p>
    <w:p>
      <w:pPr>
        <w:spacing w:before="0" w:after="0" w:line="408" w:lineRule="exact"/>
        <w:ind w:left="0" w:right="0" w:firstLine="576"/>
        <w:jc w:val="left"/>
      </w:pPr>
      <w:r>
        <w:rPr/>
        <w:t xml:space="preserve">(d) "Forgiveness ratio" is computed by dividing the amount of money in the COVID-19 unemployment account by the total approved benefits. The forgiveness ratio cannot be more than 1.</w:t>
      </w:r>
    </w:p>
    <w:p>
      <w:pPr>
        <w:spacing w:before="0" w:after="0" w:line="408" w:lineRule="exact"/>
        <w:ind w:left="0" w:right="0" w:firstLine="576"/>
        <w:jc w:val="left"/>
      </w:pPr>
      <w:r>
        <w:rPr/>
        <w:t xml:space="preserve">(e) "Forgiven benefits" means the approved benefits for an individual employer multiplied by the forgiveness ratio.</w:t>
      </w:r>
    </w:p>
    <w:p>
      <w:pPr>
        <w:spacing w:before="0" w:after="0" w:line="408" w:lineRule="exact"/>
        <w:ind w:left="0" w:right="0" w:firstLine="576"/>
        <w:jc w:val="left"/>
      </w:pPr>
      <w:r>
        <w:rPr/>
        <w:t xml:space="preserve">(6) The department shall adopt such rules as are necessary to carry out the purposes of this section.</w:t>
      </w:r>
    </w:p>
    <w:p>
      <w:pPr>
        <w:spacing w:before="0" w:after="0" w:line="408" w:lineRule="exact"/>
        <w:ind w:left="0" w:right="0" w:firstLine="576"/>
        <w:jc w:val="left"/>
      </w:pPr>
      <w:r>
        <w:rPr/>
        <w:t xml:space="preserve">(7) This section expires July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2019 c 415 s 956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w:t>
      </w:r>
      <w:r>
        <w:rPr>
          <w:u w:val="single"/>
        </w:rPr>
        <w:t xml:space="preserve">, including response by state and local government and federally recognized tribes to the novel coronavirus pursuant to the gubernatorial declaration of emergency of February 29, 2020,</w:t>
      </w:r>
      <w:r>
        <w:rPr/>
        <w:t xml:space="preserve"> and to reimburse the workers' compensation funds and self-insured employers under RCW 51.16.220. During the 2017-2019 and 2019-2021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is authorized to determine nursing facility payments to adequately resource facilities responding to the novel coronavirus outbreak pursuant to the gubernatorial declaration of emergency of February 29, 2020. The medicaid payments provided to nursing facilities in response to this state of emergency shall be determined by the department as appropriate to address the immediate safety needs of Washington state citizens and shall not be subject to this chapter's medicaid methodology. Any nursing facility payment made under this section shall not be included in the calculation of the annual statewide weighted average nursing facility payment rate.</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2019 c 50 s 1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w:t>
      </w:r>
      <w:r>
        <w:rPr>
          <w:u w:val="single"/>
        </w:rPr>
        <w:t xml:space="preserve">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u w:val="single"/>
        </w:rPr>
        <w:t xml:space="preserve">(iii)</w:t>
      </w:r>
      <w:r>
        <w:rPr/>
        <w:t xml:space="preserve">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Recognizing that schools and districts throughout Washington have different needs and resources to respond to the impact of the novel coronavirus (COVID-19) outbreak, within existing resources, the state board of education may administer an emergency waiver program to grant local education agencies and private schools flexibility so that students in the graduating class of 2020 or earlier who were on track to graduate before the gubernatorial declaration of emergency of February 29, 2020, and any subsequent amendments to that proclamation, are not negatively impacted by measures taken by the local education agency or private school in response to the novel coronavirus (COVID-19).</w:t>
      </w:r>
    </w:p>
    <w:p>
      <w:pPr>
        <w:spacing w:before="0" w:after="0" w:line="408" w:lineRule="exact"/>
        <w:ind w:left="0" w:right="0" w:firstLine="576"/>
        <w:jc w:val="left"/>
      </w:pPr>
      <w:r>
        <w:rPr/>
        <w:t xml:space="preserve">(b) Consistent with the intent of the emergency waiver program, the state board of education may adopt rules to allow:</w:t>
      </w:r>
    </w:p>
    <w:p>
      <w:pPr>
        <w:spacing w:before="0" w:after="0" w:line="408" w:lineRule="exact"/>
        <w:ind w:left="0" w:right="0" w:firstLine="576"/>
        <w:jc w:val="left"/>
      </w:pPr>
      <w:r>
        <w:rPr/>
        <w:t xml:space="preserve">(i) School districts, charter schools established under chapter 28A.710 RCW, and tribal compact schools operated according to the terms of state-tribal education compacts authorized under chapter 28A.715 RCW to apply to the state board of education for a waiver of high school graduation requirements or equivalencies established under RCW 28A.230.090 for students in the graduating class of 2020 or earlier who cannot meet the statewide minimum credit and subject area graduation requirements due to school closures related to the novel coronavirus (COVID-19). The state board of education may approve waivers that meet criteria including demonstration of a good faith effort to address core course requirements and credit deficiencies through other mechanisms; and</w:t>
      </w:r>
    </w:p>
    <w:p>
      <w:pPr>
        <w:spacing w:before="0" w:after="0" w:line="408" w:lineRule="exact"/>
        <w:ind w:left="0" w:right="0" w:firstLine="576"/>
        <w:jc w:val="left"/>
      </w:pPr>
      <w:r>
        <w:rPr/>
        <w:t xml:space="preserve">(ii) The state board of education to waive provisions relating to the number of instructional hours, the number of school days, credit-based graduation requirements, and other provisions for the 2019-20 school year for private schools established under chapter 28A.195 RCW that close due to the novel coronavirus (COVID-19).</w:t>
      </w:r>
    </w:p>
    <w:p>
      <w:pPr>
        <w:spacing w:before="0" w:after="0" w:line="408" w:lineRule="exact"/>
        <w:ind w:left="0" w:right="0" w:firstLine="576"/>
        <w:jc w:val="left"/>
      </w:pPr>
      <w:r>
        <w:rPr/>
        <w:t xml:space="preserve">(2) This section expires July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w:t>
      </w:r>
      <w:r>
        <w:rPr>
          <w:u w:val="single"/>
        </w:rPr>
        <w:t xml:space="preserve">The limitations on the ability of a school district to grant waivers under this subsection (1)(e)(i) shall not apply in circumstances where a district is granted flexibility from state requirements under an emergency waiver program established in section 10 of this act.</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July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31be5f1e29a42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26c9f171ad4cad" /><Relationship Type="http://schemas.openxmlformats.org/officeDocument/2006/relationships/footer" Target="/word/footer1.xml" Id="Re31be5f1e29a4238" /></Relationships>
</file>