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d50fdf2cc4d03" /></Relationships>
</file>

<file path=word/document.xml><?xml version="1.0" encoding="utf-8"?>
<w:document xmlns:w="http://schemas.openxmlformats.org/wordprocessingml/2006/main">
  <w:body>
    <w:p>
      <w:r>
        <w:t>S-0353.2</w:t>
      </w:r>
    </w:p>
    <w:p>
      <w:pPr>
        <w:jc w:val="center"/>
      </w:pPr>
      <w:r>
        <w:t>_______________________________________________</w:t>
      </w:r>
    </w:p>
    <w:p/>
    <w:p>
      <w:pPr>
        <w:jc w:val="center"/>
      </w:pPr>
      <w:r>
        <w:rPr>
          <w:b/>
        </w:rPr>
        <w:t>SENATE BILL 5102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Sheldon</w:t>
      </w:r>
    </w:p>
    <w:p/>
    <w:p>
      <w:r>
        <w:rPr>
          <w:t xml:space="preserve">Prefiled 01/08/19.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natural resources' land acquisitions; amending RCW 79.70.030 and 79.71.040; adding a new section to chapter 79.02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for citizens and private landowners to collaborate with state agencies and public land managers in the management of natural resources and recreation. The legislature further finds that private landowners should be encouraged to allow public access to natural resources, where appropriate, without a concern for losing ownership of that property. Therefore, the legislature finds that the use of certain public land acquisition processes should be restricted to encourage positive working relationships between private landowners and state agencies that manage public natural resource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If the department is seeking to acquire private lands through adverse possession, the claim must rely on the actions of the requesting party and not the actions of the general public. Any claim for adverse possession brought by the department must include fair and clear notice that the land is being used by the department and include evidence of physical occupation of the property sufficient to provide a property owner constructive or actual notice of the claim.</w:t>
      </w:r>
    </w:p>
    <w:p>
      <w:pPr>
        <w:spacing w:before="0" w:after="0" w:line="408" w:lineRule="exact"/>
        <w:ind w:left="0" w:right="0" w:firstLine="576"/>
        <w:jc w:val="left"/>
      </w:pPr>
      <w:r>
        <w:rPr/>
        <w:t xml:space="preserve">(2) If the department is seeking to clarify boundary points or lines of aquatic lands, as the term "aquatic lands" is defined in RCW 79.105.060, surveyors must review the existing public record and landmarks. Equitable apportionment is only appropriate to the extent that the boundary points and lines cannot be ascertained from the public record, landmarks, and other publicly available documentation.</w:t>
      </w:r>
    </w:p>
    <w:p>
      <w:pPr>
        <w:spacing w:before="0" w:after="0" w:line="408" w:lineRule="exact"/>
        <w:ind w:left="0" w:right="0" w:firstLine="576"/>
        <w:jc w:val="left"/>
      </w:pPr>
      <w:r>
        <w:rPr/>
        <w:t xml:space="preserve">(3) For the purposes of this section, "equitable apportionment" means that if tideland boundaries are ambiguous, the court may draw boundaries proportionately based on the amount of upland frontage so that each upland owner has access to navigable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w:t>
      </w:r>
      <w:r>
        <w:rPr>
          <w:u w:val="single"/>
        </w:rPr>
        <w:t xml:space="preserve">(a)</w:t>
      </w:r>
      <w:r>
        <w:rPr/>
        <w:t xml:space="preserve"> Consistent with the plan, acquire by gift, devise, purchase, grant, dedication, or means other than eminent domain, </w:t>
      </w:r>
      <w:r>
        <w:rPr>
          <w:u w:val="single"/>
        </w:rPr>
        <w:t xml:space="preserve">adverse possession, or equitable apportionment,</w:t>
      </w:r>
      <w:r>
        <w:rPr/>
        <w:t xml:space="preserve"> the fee or any lesser right or interest in real property which shall be held and managed as a natural area;</w:t>
      </w:r>
    </w:p>
    <w:p>
      <w:pPr>
        <w:spacing w:before="0" w:after="0" w:line="408" w:lineRule="exact"/>
        <w:ind w:left="0" w:right="0" w:firstLine="576"/>
        <w:jc w:val="left"/>
      </w:pPr>
      <w:r>
        <w:rPr>
          <w:u w:val="single"/>
        </w:rPr>
        <w:t xml:space="preserve">(b) For the purposes of this subsection, "equitable apportionment" means that if tideland boundaries are ambiguous, the court may draw boundaries proportionately based on the amount of upland frontage so that each upland owner has access to navigable water;</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u w:val="single"/>
        </w:rPr>
        <w:t xml:space="preserve">(1)</w:t>
      </w:r>
      <w:r>
        <w:rPr/>
        <w:t xml:space="preserve"> The department is authorized to acquire property or less than fee interests in property, as defined by RCW 64.04.130, by all means, except eminent domain, </w:t>
      </w:r>
      <w:r>
        <w:rPr>
          <w:u w:val="single"/>
        </w:rPr>
        <w:t xml:space="preserve">adverse possession, or equitable apportionment,</w:t>
      </w:r>
      <w:r>
        <w:rPr/>
        <w:t xml:space="preserve"> for creating natural resources conservation areas, where acquisition is the best way to achieve the purposes of this chapter. Areas acquired or assembled by the department for conservation purposes will be designated as "Washington natural resources conservation areas."</w:t>
      </w:r>
    </w:p>
    <w:p>
      <w:pPr>
        <w:spacing w:before="0" w:after="0" w:line="408" w:lineRule="exact"/>
        <w:ind w:left="0" w:right="0" w:firstLine="576"/>
        <w:jc w:val="left"/>
      </w:pPr>
      <w:r>
        <w:rPr>
          <w:u w:val="single"/>
        </w:rPr>
        <w:t xml:space="preserve">(2) For the purposes of this section, "equitable apportionment" means that if tideland boundaries are ambiguous, the court may draw boundaries proportionately based on the amount of upland frontage so that each upland owner has access to navigable water.</w:t>
      </w:r>
    </w:p>
    <w:p/>
    <w:p>
      <w:pPr>
        <w:jc w:val="center"/>
      </w:pPr>
      <w:r>
        <w:rPr>
          <w:b/>
        </w:rPr>
        <w:t>--- END ---</w:t>
      </w:r>
    </w:p>
    <w:sectPr>
      <w:pgNumType w:start="1"/>
      <w:footerReference xmlns:r="http://schemas.openxmlformats.org/officeDocument/2006/relationships" r:id="R0976e42bbd1347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fa85b54bad4876" /><Relationship Type="http://schemas.openxmlformats.org/officeDocument/2006/relationships/footer" Target="/word/footer1.xml" Id="R0976e42bbd1347c9" /></Relationships>
</file>