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e2d79b9154fcd" /></Relationships>
</file>

<file path=word/document.xml><?xml version="1.0" encoding="utf-8"?>
<w:document xmlns:w="http://schemas.openxmlformats.org/wordprocessingml/2006/main">
  <w:body>
    <w:p>
      <w:r>
        <w:t>S-2358.1</w:t>
      </w:r>
    </w:p>
    <w:p>
      <w:pPr>
        <w:jc w:val="center"/>
      </w:pPr>
      <w:r>
        <w:t>_______________________________________________</w:t>
      </w:r>
    </w:p>
    <w:p/>
    <w:p>
      <w:pPr>
        <w:jc w:val="center"/>
      </w:pPr>
      <w:r>
        <w:rPr>
          <w:b/>
        </w:rPr>
        <w:t>SECOND SUBSTITUTE SENATE BILL 5120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Darneille, Mullet, Nguyen, Hunt, Saldaña, Liias, Carlyle, Frockt, Hasegawa,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with for-profit correctional facilities for the transfer or placement of offenders; amending RCW 72.68.010 and 72.68.001; reenacting and amending RCW 72.09.050; adding a new section to chapter 72.68 RCW; creating a new section; and repealing RCW 72.68.012.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type of institution an individual is incarcerated in can have a direct impact on rates of recidivism. The legislature further finds that incarcerating persons in private correctional entities, which have business models dependent on rates of incarceration, may increase the likelihood of those persons recidivating. The legislature resolves that public safety and financial and humanitarian interests are furthered by decreased rates of recidivism. The legislature intends to eliminate the utilization of private correctional entities by Washington state and to allow utilization of private correctional entities in only the most narrow and rare circumstances, in cases of emergency and when security and safety demand.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and RCW 72.68.010(2), the secretary, any county government, city government, or county sheriff's department, is prohibited from utilizing a contract with a private correctional entity.</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w:t>
      </w:r>
      <w:r>
        <w:rPr>
          <w:u w:val="single"/>
        </w:rPr>
        <w:t xml:space="preserve">,</w:t>
      </w:r>
      <w:r>
        <w:rPr/>
        <w:t xml:space="preserve"> if the secretary determines that transfer is in the best interest of the state or the offender.</w:t>
      </w:r>
    </w:p>
    <w:p>
      <w:pPr>
        <w:spacing w:before="0" w:after="0" w:line="408" w:lineRule="exact"/>
        <w:ind w:left="0" w:right="0" w:firstLine="576"/>
        <w:jc w:val="left"/>
      </w:pPr>
      <w:r>
        <w:rPr>
          <w:u w:val="single"/>
        </w:rPr>
        <w:t xml:space="preserve">(2) The secretary has the authority to transfer offenders to an out-of-state private correctional entity only if the governor finds that an emergency exists such that the population of a state correctional facility exceeds its reasonable, maximum capacity resulting in safety and security concerns, the governor has considered all other legal options to address capacity including those pursuant to RCW 9.94A.870, and the secretary determines that transfer is in the best interest of the state or the offender.</w:t>
      </w:r>
    </w:p>
    <w:p>
      <w:pPr>
        <w:spacing w:before="0" w:after="0" w:line="408" w:lineRule="exact"/>
        <w:ind w:left="0" w:right="0" w:firstLine="576"/>
        <w:jc w:val="left"/>
      </w:pPr>
      <w:r>
        <w:rPr>
          <w:u w:val="single"/>
        </w:rPr>
        <w:t xml:space="preserve">(3)</w:t>
      </w:r>
      <w:r>
        <w:rPr/>
        <w:t xml:space="preserve">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001</w:t>
      </w:r>
      <w:r>
        <w:rPr/>
        <w:t xml:space="preserve"> and 1981 c 136 s 114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"Department" means the department of corrections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"Private correctional entity" means a for-profit contractor or for-profit vendor who provides services relating to the ownership, management, or administration of security services of a correctional facility for the incarceration of persons in the custody of the department, the department of children, youth, and families, or a county sheriff.</w:t>
      </w:r>
    </w:p>
    <w:p>
      <w:pPr>
        <w:spacing w:before="0" w:after="0" w:line="408" w:lineRule="exact"/>
        <w:ind w:left="0" w:right="0" w:firstLine="576"/>
        <w:jc w:val="left"/>
      </w:pPr>
      <w:r>
        <w:rPr>
          <w:u w:val="single"/>
        </w:rPr>
        <w:t xml:space="preserve">(3)</w:t>
      </w:r>
      <w:r>
        <w:rPr/>
        <w:t xml:space="preserve"> "Secretary" means the secretary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
      <w:pPr>
        <w:jc w:val="center"/>
      </w:pPr>
      <w:r>
        <w:rPr>
          <w:b/>
        </w:rPr>
        <w:t>--- END ---</w:t>
      </w:r>
    </w:p>
    <w:sectPr>
      <w:pgNumType w:start="1"/>
      <w:footerReference xmlns:r="http://schemas.openxmlformats.org/officeDocument/2006/relationships" r:id="R80235a85010d4a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96c6a4fd7d41aa" /><Relationship Type="http://schemas.openxmlformats.org/officeDocument/2006/relationships/footer" Target="/word/footer1.xml" Id="R80235a85010d4afd" /></Relationships>
</file>