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1a7d990b24d7d" /></Relationships>
</file>

<file path=word/document.xml><?xml version="1.0" encoding="utf-8"?>
<w:document xmlns:w="http://schemas.openxmlformats.org/wordprocessingml/2006/main">
  <w:body>
    <w:p>
      <w:r>
        <w:t>S-0382.2</w:t>
      </w:r>
    </w:p>
    <w:p>
      <w:pPr>
        <w:jc w:val="center"/>
      </w:pPr>
      <w:r>
        <w:t>_______________________________________________</w:t>
      </w:r>
    </w:p>
    <w:p/>
    <w:p>
      <w:pPr>
        <w:jc w:val="center"/>
      </w:pPr>
      <w:r>
        <w:rPr>
          <w:b/>
        </w:rPr>
        <w:t>SENATE BILL 5121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Honeyford</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embezzlement; amending RCW 9A.56.030, 9A.56.040, 9A.56.050, 9.94A.540, and 9A.82.010; reenacting and amending RCW 9.94A.515; adding a new section to chapter 9A.56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theft, when committed by a person who has been entrusted with the property of another, is especially heinous and can involve significant sums of money. Embezzlement can be devastating to the victims and put businesses in financial ruin. The legislature intends to increase minimum penalties for those crimes in order to discourage these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2017 c 266 s 10 are each amended to read as follows:</w:t>
      </w:r>
    </w:p>
    <w:p>
      <w:pPr>
        <w:spacing w:before="0" w:after="0" w:line="408" w:lineRule="exact"/>
        <w:ind w:left="0" w:right="0" w:firstLine="576"/>
        <w:jc w:val="left"/>
      </w:pPr>
      <w:r>
        <w:rPr/>
        <w:t xml:space="preserve">(1) Except as provided in RCW 9A.56.400 </w:t>
      </w:r>
      <w:r>
        <w:rPr>
          <w:u w:val="single"/>
        </w:rPr>
        <w:t xml:space="preserve">and section 5 of this act</w:t>
      </w:r>
      <w:r>
        <w:rPr/>
        <w:t xml:space="preserve">, a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2017 c 266 s 11 are each amended to read as follows:</w:t>
      </w:r>
    </w:p>
    <w:p>
      <w:pPr>
        <w:spacing w:before="0" w:after="0" w:line="408" w:lineRule="exact"/>
        <w:ind w:left="0" w:right="0" w:firstLine="576"/>
        <w:jc w:val="left"/>
      </w:pPr>
      <w:r>
        <w:rPr/>
        <w:t xml:space="preserve">(1) Except as provided in RCW 9A.56.400 </w:t>
      </w:r>
      <w:r>
        <w:rPr>
          <w:u w:val="single"/>
        </w:rPr>
        <w:t xml:space="preserve">and section 5 of this act</w:t>
      </w:r>
      <w:r>
        <w:rPr/>
        <w:t xml:space="preserve">, a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050</w:t>
      </w:r>
      <w:r>
        <w:rPr/>
        <w:t xml:space="preserve"> and 2009 c 431 s 9 are each amended to read as follows:</w:t>
      </w:r>
    </w:p>
    <w:p>
      <w:pPr>
        <w:spacing w:before="0" w:after="0" w:line="408" w:lineRule="exact"/>
        <w:ind w:left="0" w:right="0" w:firstLine="576"/>
        <w:jc w:val="left"/>
      </w:pPr>
      <w:r>
        <w:rPr/>
        <w:t xml:space="preserve">(1) </w:t>
      </w:r>
      <w:r>
        <w:rPr>
          <w:u w:val="single"/>
        </w:rPr>
        <w:t xml:space="preserve">Except as provided in section 5 of this act, a</w:t>
      </w:r>
      <w:r>
        <w:rPr/>
        <w:t xml:space="preserve"> person is guilty of theft in the third degree if he or she commits theft of property or services which (a) does not exceed seven hundred fifty dollars in value, or (b) includes ten or more merchandise pallets, or ten or more beverage crates, or a combination of ten or more merchandise pallets and beverage crates.</w:t>
      </w:r>
    </w:p>
    <w:p>
      <w:pPr>
        <w:spacing w:before="0" w:after="0" w:line="408" w:lineRule="exact"/>
        <w:ind w:left="0" w:right="0" w:firstLine="576"/>
        <w:jc w:val="left"/>
      </w:pPr>
      <w:r>
        <w:rPr/>
        <w:t xml:space="preserve">(2) Theft in the third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by color or aid of deception in the first degree if he or she commits theft as provided in RCW 9A.56.020(1)(b) of property or services that exceed thirty thousand dollars in value;</w:t>
      </w:r>
    </w:p>
    <w:p>
      <w:pPr>
        <w:spacing w:before="0" w:after="0" w:line="408" w:lineRule="exact"/>
        <w:ind w:left="0" w:right="0" w:firstLine="576"/>
        <w:jc w:val="left"/>
      </w:pPr>
      <w:r>
        <w:rPr/>
        <w:t xml:space="preserve">(b) Theft by color or aid of deception in the first degree is a class B felony.</w:t>
      </w:r>
    </w:p>
    <w:p>
      <w:pPr>
        <w:spacing w:before="0" w:after="0" w:line="408" w:lineRule="exact"/>
        <w:ind w:left="0" w:right="0" w:firstLine="576"/>
        <w:jc w:val="left"/>
      </w:pPr>
      <w:r>
        <w:rPr/>
        <w:t xml:space="preserve">(2)(a) A person is guilty of theft by color or aid of deception in the second degree if he or she commits theft of property or services that exceed ten thousand dollars in value but does not exceed thirty thousand dollars in value;</w:t>
      </w:r>
    </w:p>
    <w:p>
      <w:pPr>
        <w:spacing w:before="0" w:after="0" w:line="408" w:lineRule="exact"/>
        <w:ind w:left="0" w:right="0" w:firstLine="576"/>
        <w:jc w:val="left"/>
      </w:pPr>
      <w:r>
        <w:rPr/>
        <w:t xml:space="preserve">(b) Theft by color or aid of deception in the second degree is a class C felony.</w:t>
      </w:r>
    </w:p>
    <w:p>
      <w:pPr>
        <w:spacing w:before="0" w:after="0" w:line="408" w:lineRule="exact"/>
        <w:ind w:left="0" w:right="0" w:firstLine="576"/>
        <w:jc w:val="left"/>
      </w:pPr>
      <w:r>
        <w:rPr/>
        <w:t xml:space="preserve">(3)(a) A person is guilty of theft by color or aid of deception in the third degree if he or she commits theft of property or services that do not exceed ten thousand dollars in value;</w:t>
      </w:r>
    </w:p>
    <w:p>
      <w:pPr>
        <w:spacing w:before="0" w:after="0" w:line="408" w:lineRule="exact"/>
        <w:ind w:left="0" w:right="0" w:firstLine="576"/>
        <w:jc w:val="left"/>
      </w:pPr>
      <w:r>
        <w:rPr/>
        <w:t xml:space="preserve">(b) Theft by color or aid of deception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Theft by color or aid of deception in the first degree (section 5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Theft by color or aid of deception in the second degree (section 5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Theft by color or aid of deception in the third degree (section 5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eighteenth birthday shall be sentenced to a term of total confinement not less than twenty-five years.</w:t>
      </w:r>
    </w:p>
    <w:p>
      <w:pPr>
        <w:spacing w:before="0" w:after="0" w:line="408" w:lineRule="exact"/>
        <w:ind w:left="0" w:right="0" w:firstLine="576"/>
        <w:jc w:val="left"/>
      </w:pPr>
      <w:r>
        <w:rPr>
          <w:u w:val="single"/>
        </w:rPr>
        <w:t xml:space="preserve">(f) An offender convicted of the crime of theft by color or aid of deception in the first degree must be sentenced to a minimum term of total confinement not less than five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w:t>
      </w:r>
      <w:r>
        <w:rPr>
          <w:u w:val="single"/>
        </w:rPr>
        <w:t xml:space="preserve">section 5 of this act,</w:t>
      </w:r>
      <w:r>
        <w:rPr/>
        <w:t xml:space="preserve">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or</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
      <w:pPr>
        <w:jc w:val="center"/>
      </w:pPr>
      <w:r>
        <w:rPr>
          <w:b/>
        </w:rPr>
        <w:t>--- END ---</w:t>
      </w:r>
    </w:p>
    <w:sectPr>
      <w:pgNumType w:start="1"/>
      <w:footerReference xmlns:r="http://schemas.openxmlformats.org/officeDocument/2006/relationships" r:id="Ra86758d7300d40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e773535bc4599" /><Relationship Type="http://schemas.openxmlformats.org/officeDocument/2006/relationships/footer" Target="/word/footer1.xml" Id="Ra86758d7300d4031" /></Relationships>
</file>