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8af3ad86c477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 Darneille)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robbery in the second degree from the list of offenses that qualify an individual as a persistent offender; and amending RCW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w:t>
      </w:r>
      <w:r>
        <w:t>((</w:t>
      </w:r>
      <w:r>
        <w:rPr>
          <w:strike/>
        </w:rPr>
        <w:t xml:space="preserve">Robbery in the second degree;</w:t>
      </w:r>
    </w:p>
    <w:p>
      <w:pPr>
        <w:spacing w:before="0" w:after="0" w:line="408" w:lineRule="exact"/>
        <w:ind w:left="0" w:right="0" w:firstLine="576"/>
        <w:jc w:val="left"/>
      </w:pPr>
      <w:r>
        <w:rPr>
          <w:strike/>
        </w:rPr>
        <w:t xml:space="preserve">(p)</w:t>
      </w:r>
      <w:r>
        <w:t>))</w:t>
      </w:r>
      <w:r>
        <w:rPr/>
        <w:t xml:space="preserve"> Sexual exploitation;</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Any other class B felony offense with a finding of sexual motivation;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Any other felony with a deadly weapon verdict under RCW 9.94A.825;</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
      <w:pPr>
        <w:jc w:val="center"/>
      </w:pPr>
      <w:r>
        <w:rPr>
          <w:b/>
        </w:rPr>
        <w:t>--- END ---</w:t>
      </w:r>
    </w:p>
    <w:sectPr>
      <w:pgNumType w:start="1"/>
      <w:footerReference xmlns:r="http://schemas.openxmlformats.org/officeDocument/2006/relationships" r:id="R8168d8d2ca2c46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195dbc179498c" /><Relationship Type="http://schemas.openxmlformats.org/officeDocument/2006/relationships/footer" Target="/word/footer1.xml" Id="R8168d8d2ca2c464d" /></Relationships>
</file>