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502ace5ca485d" /></Relationships>
</file>

<file path=word/document.xml><?xml version="1.0" encoding="utf-8"?>
<w:document xmlns:w="http://schemas.openxmlformats.org/wordprocessingml/2006/main">
  <w:body>
    <w:p>
      <w:r>
        <w:t>Z-0412.1</w:t>
      </w:r>
    </w:p>
    <w:p>
      <w:pPr>
        <w:jc w:val="center"/>
      </w:pPr>
      <w:r>
        <w:t>_______________________________________________</w:t>
      </w:r>
    </w:p>
    <w:p/>
    <w:p>
      <w:pPr>
        <w:jc w:val="center"/>
      </w:pPr>
      <w:r>
        <w:rPr>
          <w:b/>
        </w:rPr>
        <w:t>SENATE BILL 5293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Nguyen, Palumbo, Das, Billig, Kuderer, Keiser, McCoy, Hunt, Liias, Frockt, Pedersen, and Wellman; by request of Governor Inslee</w:t>
      </w:r>
    </w:p>
    <w:p/>
    <w:p>
      <w:r>
        <w:rPr>
          <w:t xml:space="preserve">Read first time 01/17/19.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19.27A.015, 19.27A.020,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w:t>
      </w:r>
    </w:p>
    <w:p>
      <w:pPr>
        <w:spacing w:before="0" w:after="0" w:line="408" w:lineRule="exact"/>
        <w:ind w:left="0" w:right="0" w:firstLine="576"/>
        <w:jc w:val="left"/>
      </w:pPr>
      <w:r>
        <w:rPr/>
        <w:t xml:space="preserve">(d) Authorizes local governments to voluntarily adopt energy codes for residential structures that achieve even greater energy savings and greenhouse gas reductions than the minimum state energy code; and</w:t>
      </w:r>
    </w:p>
    <w:p>
      <w:pPr>
        <w:spacing w:before="0" w:after="0" w:line="408" w:lineRule="exact"/>
        <w:ind w:left="0" w:right="0" w:firstLine="576"/>
        <w:jc w:val="left"/>
      </w:pPr>
      <w:r>
        <w:rPr/>
        <w:t xml:space="preserve">(e)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year prior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present value savings to the present value costs of an energy or water conservation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July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standard must include technical and professional requirements for implementation. The department shall use ANSI/ASHRAE/IES standard 100-2018 as a model for standard development. The department must update the standard by July 1, 2029, and every five years thereafter.</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criteria must require that a building owner adopts all energy efficiency measures required to meet the energy use intensity target, or based on a thirty year life-cycle cost analysis, the building owner must adopt an optimized bundle of energy efficiency measures that provides maximum energy savings without resulting in an savings-to-investment ratio of less than 1.0, except as exempted in (d)(ii) of this subsection. The building owner's cost for implementing energy efficiency measures must be net cost, excluding the cost covered by utility or government grants;</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(a) Failure to submit a compliance report in the form and manner prescribed by the department;</w:t>
      </w:r>
    </w:p>
    <w:p>
      <w:pPr>
        <w:spacing w:before="0" w:after="0" w:line="408" w:lineRule="exact"/>
        <w:ind w:left="0" w:right="0" w:firstLine="576"/>
        <w:jc w:val="left"/>
      </w:pPr>
      <w:r>
        <w:rPr/>
        <w:t xml:space="preserve">(b) Failure to meet an energy use intensity target or failure to receive conditional compliance approval;</w:t>
      </w:r>
    </w:p>
    <w:p>
      <w:pPr>
        <w:spacing w:before="0" w:after="0" w:line="408" w:lineRule="exact"/>
        <w:ind w:left="0" w:right="0" w:firstLine="576"/>
        <w:jc w:val="left"/>
      </w:pPr>
      <w:r>
        <w:rPr/>
        <w:t xml:space="preserve">(c) Failure to provide accurate reporting consistent with the requirements of the standard established under this section; and</w:t>
      </w:r>
    </w:p>
    <w:p>
      <w:pPr>
        <w:spacing w:before="0" w:after="0" w:line="408" w:lineRule="exact"/>
        <w:ind w:left="0" w:right="0" w:firstLine="576"/>
        <w:jc w:val="left"/>
      </w:pPr>
      <w:r>
        <w:rPr/>
        <w:t xml:space="preserve">(d) Failure to provide a valid exemption certificate.</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The department must establish professional qualifications for persons completing building energy reporting required for the incentive program. Building energy use intensity reporting must be completed by persons meeting the required professional qualification.</w:t>
      </w:r>
    </w:p>
    <w:p>
      <w:pPr>
        <w:spacing w:before="0" w:after="0" w:line="408" w:lineRule="exact"/>
        <w:ind w:left="0" w:right="0" w:firstLine="576"/>
        <w:jc w:val="left"/>
      </w:pPr>
      <w:r>
        <w:rPr/>
        <w:t xml:space="preserve">(4)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incentive payments must be proportional to the energy use intensity reduction of the specific fuel provided by each entity.</w:t>
      </w:r>
    </w:p>
    <w:p>
      <w:pPr>
        <w:spacing w:before="0" w:after="0" w:line="408" w:lineRule="exact"/>
        <w:ind w:left="0" w:right="0" w:firstLine="576"/>
        <w:jc w:val="left"/>
      </w:pPr>
      <w:r>
        <w:rPr/>
        <w:t xml:space="preserve">(5) An eligible building owner may receive an incentive payment in the amounts specified in subsections (7) and (8)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(6)(a) An eligible building owner who meets the requirements of subsection (5)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January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January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January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(7) An eligible building owner that demonstrates early compliance with the applicable energy use intensity target under the standard established under section 3 of this act may receive a base incentive payment of fifty cents per square foot of floor area.</w:t>
      </w:r>
    </w:p>
    <w:p>
      <w:pPr>
        <w:spacing w:before="0" w:after="0" w:line="408" w:lineRule="exact"/>
        <w:ind w:left="0" w:right="0" w:firstLine="576"/>
        <w:jc w:val="left"/>
      </w:pPr>
      <w:r>
        <w:rPr/>
        <w:t xml:space="preserve">(8) An eligible building owner that qualifies for the base incentive under subsection (9) of this section and demonstrates compliance with the applicable energy use intensity target for the next three consecutive years may receive an additional incentive payment of thirty-five cents per square foot of floor area.</w:t>
      </w:r>
    </w:p>
    <w:p>
      <w:pPr>
        <w:spacing w:before="0" w:after="0" w:line="408" w:lineRule="exact"/>
        <w:ind w:left="0" w:right="0" w:firstLine="576"/>
        <w:jc w:val="left"/>
      </w:pPr>
      <w:r>
        <w:rPr/>
        <w:t xml:space="preserve">(9) The incentives provided in subsections (7) and (8)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(10)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(11)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(12)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(13)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Each qualifying utility must administer incentive payments for the state energy performance standard early adoption incentive program established in section 4 of this act,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and multifamily residential buildings who qualify as provided under this section and at rates specified in section 4 (7) and (8)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 Energy efficiency savings achieved through an incentive program that are unique from any other savings claims may be used by the entity to meet regulatory requirements to acquire conservation and energy savings, unless otherwise prohibited or restricted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The joint legislative audit and review committee is not required to perform a tax preference review under chapter 43.136 RCW for the tax preference contained in section 8, chapter . . ., Laws of 2019 (section 8 of this act), and it is the intent of the legislature to allow the tax preferences to expire upon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five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same calendar year in which the incentive payments were made and administrative expenses incurred. Credit earned in one calendar year may not be carried forward or backward and claimed against taxes due under this chapter for a different calendar year.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that is not a qualifying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Qualifying utilities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natural gas is a fossil fuel, the burning of which produces carbon dioxide pollution, and the production, distribution, and transmission of which results in the leakage of methane, an extremely potent greenhouse gas. In 2014, the intergovernmental panel on climate change found that the global warming potential for methane gas is eighty-four times that of carbon dioxide over a twenty-year period and twenty-eight times that of carbon dioxide over a one hundred year period. Washington has adopted targets to reduce greenhouse gas emissions, in order to mitigate the impacts of climate change on the environment, economy, health, and livelihoods. Natural gas is used as a fuel in Washington to generate electricity, move vehicles and vessels, fuel industrial processes, and heat water and buildings. Under current policy, natural gas usage in Washington and associated greenhouse gas emissions have nearly doubled since 1990. Current state policy does not take recent scientific findings into account.</w:t>
      </w:r>
    </w:p>
    <w:p>
      <w:pPr>
        <w:spacing w:before="0" w:after="0" w:line="408" w:lineRule="exact"/>
        <w:ind w:left="0" w:right="0" w:firstLine="576"/>
        <w:jc w:val="left"/>
      </w:pPr>
      <w:r>
        <w:rPr/>
        <w:t xml:space="preserve">(2) It is the policy of the state to make progress toward limiting and reducing fossil-based natural gas consumption where cleaner options exist or can be developed. In order to reach short-term and long-term emissions goals, Washington needs to improve the efficiency of natural gas consumption, switch to cleaner options when they are available, and reduce the carbon intensity of natural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establish for each gas company a schedule of annual minimum renewable natural gas acquisition targets as a percentage of the company's total quantity sales to retail customers. In establishing the annual targets, the commission must consider the state's greenhouse gas emissions reduction goals, the costs of greenhouse gas emissions established in section 15 of this act, other potential end uses for renewable natural gas that are in the public interest, and the potential costs of renewable natural gas relative to fossil fuel natural gas. The initial renewable natural gas target must take effect by 2022.</w:t>
      </w:r>
    </w:p>
    <w:p>
      <w:pPr>
        <w:spacing w:before="0" w:after="0" w:line="408" w:lineRule="exact"/>
        <w:ind w:left="0" w:right="0" w:firstLine="576"/>
        <w:jc w:val="left"/>
      </w:pPr>
      <w:r>
        <w:rPr/>
        <w:t xml:space="preserve">(2) The environmental attributes of renewable natural gas used to comply with the requirements of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The commission may approve pilot programs for procurement of renewable natural gas.</w:t>
      </w:r>
    </w:p>
    <w:p>
      <w:pPr>
        <w:spacing w:before="0" w:after="0" w:line="408" w:lineRule="exact"/>
        <w:ind w:left="0" w:right="0" w:firstLine="576"/>
        <w:jc w:val="left"/>
      </w:pPr>
      <w:r>
        <w:rPr/>
        <w:t xml:space="preserve">(4) As used in this section, "renewable natural gas" includes renewable natural gas as defined in RCW 54.04.190. The commission may approve use of another source of gas for compliance with a target if it is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any application for a certificate of public convenience and necessity under RCW 80.28.190, a gas company must provide an analysis of the cost of serving the expected energy requirements of customers by using natural gas compared to the cost of serving the expected energy requirements of customers by using electricity. The cost-effectiveness analysis must be conducted using methods comparable to those required by the commission for purposes of integrated resource planning and must reflect the societal costs of greenhouse gas emissions established in section 15 of this act. The commission may not issue a certificate of public convenience and necessity unless the gas company demonstrates that natural gas is cost-effective relative to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sections 12 through 14 of this act, and for other purposes as the commission may prescribe,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report to the commission each year an estimate of the greenhouse gas emissions resulting from natural gas and renewable natural gas delivered to its customers. The report must assess each company's associated emissions relative to a proportionate share of the state's greenhouse gas emissions reduction goal. The commission must report to the governor every five years an assessment of whether the gas companies are on track to meet a proportionate share of the state's greenhouse gas emissions reduction goal.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w:t>
      </w:r>
      <w:r>
        <w:t>((</w:t>
      </w:r>
      <w:r>
        <w:rPr>
          <w:strike/>
        </w:rPr>
        <w:t xml:space="preserve">Except as provided in (b) of this subsection,</w:t>
      </w:r>
      <w:r>
        <w:t>))</w:t>
      </w:r>
      <w:r>
        <w:rPr/>
        <w:t xml:space="preserve"> </w:t>
      </w:r>
      <w:r>
        <w:rPr>
          <w:u w:val="single"/>
        </w:rPr>
        <w:t xml:space="preserve">T</w:t>
      </w:r>
      <w:r>
        <w:rPr/>
        <w:t xml:space="preserve">he Washington state energy code for residential structures shall </w:t>
      </w:r>
      <w:r>
        <w:t>((</w:t>
      </w:r>
      <w:r>
        <w:rPr>
          <w:strike/>
        </w:rPr>
        <w:t xml:space="preserve">preempt the</w:t>
      </w:r>
      <w:r>
        <w:t>))</w:t>
      </w:r>
      <w:r>
        <w:rPr/>
        <w:t xml:space="preserve"> </w:t>
      </w:r>
      <w:r>
        <w:rPr>
          <w:u w:val="single"/>
        </w:rPr>
        <w:t xml:space="preserve">be the minimum</w:t>
      </w:r>
      <w:r>
        <w:rPr/>
        <w:t xml:space="preserv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w:t>
      </w:r>
      <w:r>
        <w:t>((</w:t>
      </w:r>
      <w:r>
        <w:rPr>
          <w:strike/>
        </w:rPr>
        <w:t xml:space="preserve">not</w:t>
      </w:r>
      <w:r>
        <w:t>))</w:t>
      </w:r>
      <w:r>
        <w:rPr/>
        <w:t xml:space="preserve"> subsequently amend their energy code for residential structures to exceed the requirements adopted prior to March 1, 1990</w:t>
      </w:r>
      <w:r>
        <w:rPr>
          <w:u w:val="single"/>
        </w:rPr>
        <w:t xml:space="preserve">, provided that such an amendment conforms with the requirements of this section.</w:t>
      </w:r>
    </w:p>
    <w:p>
      <w:pPr>
        <w:spacing w:before="0" w:after="0" w:line="408" w:lineRule="exact"/>
        <w:ind w:left="0" w:right="0" w:firstLine="576"/>
        <w:jc w:val="left"/>
      </w:pPr>
      <w:r>
        <w:rPr>
          <w:u w:val="single"/>
        </w:rPr>
        <w:t xml:space="preserve">(c) A city, town, or county may adopt additional residential energy code requirements as developed by the state building code council under subsection (8) of this section</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w:t>
      </w:r>
      <w:r>
        <w:rPr>
          <w:u w:val="single"/>
        </w:rPr>
        <w:t xml:space="preserve">(a) By December 1, 2019, the state building code council must adopt the following optional efficiency appendices and include them in the Washington state energy code for residential buildings:</w:t>
      </w:r>
    </w:p>
    <w:p>
      <w:pPr>
        <w:spacing w:before="0" w:after="0" w:line="408" w:lineRule="exact"/>
        <w:ind w:left="0" w:right="0" w:firstLine="576"/>
        <w:jc w:val="left"/>
      </w:pPr>
      <w:r>
        <w:rPr>
          <w:u w:val="single"/>
        </w:rPr>
        <w:t xml:space="preserve">(i) An optional appendix providing energy code provisions that will reduce energy use by an additional eight to ten percent compared to the minimum code; and</w:t>
      </w:r>
    </w:p>
    <w:p>
      <w:pPr>
        <w:spacing w:before="0" w:after="0" w:line="408" w:lineRule="exact"/>
        <w:ind w:left="0" w:right="0" w:firstLine="576"/>
        <w:jc w:val="left"/>
      </w:pPr>
      <w:r>
        <w:rPr>
          <w:u w:val="single"/>
        </w:rPr>
        <w:t xml:space="preserve">(ii) An optional appendix providing energy code provisions that will reduce energy use by an additional sixteen to twenty percent compared to the minimum code.</w:t>
      </w:r>
    </w:p>
    <w:p>
      <w:pPr>
        <w:spacing w:before="0" w:after="0" w:line="408" w:lineRule="exact"/>
        <w:ind w:left="0" w:right="0" w:firstLine="576"/>
        <w:jc w:val="left"/>
      </w:pPr>
      <w:r>
        <w:rPr>
          <w:u w:val="single"/>
        </w:rPr>
        <w:t xml:space="preserve">(b) The state building code council must amend the two optional appendices provided under (a) of this subsection whenever it amends the minimum code requirements in order to achieve the incremental savings prescribed in this section.</w:t>
      </w:r>
    </w:p>
    <w:p>
      <w:pPr>
        <w:spacing w:before="0" w:after="0" w:line="408" w:lineRule="exact"/>
        <w:ind w:left="0" w:right="0" w:firstLine="576"/>
        <w:jc w:val="left"/>
      </w:pPr>
      <w:r>
        <w:rPr>
          <w:u w:val="single"/>
        </w:rPr>
        <w:t xml:space="preserve">(10)</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w:t>
      </w:r>
      <w:r>
        <w:rPr>
          <w:u w:val="single"/>
        </w:rPr>
        <w:t xml:space="preserve">must require electric vehicle charging capability at all new buildings. Where parking is provided, the greater of one parking space or ten percent of parking spaces must be provided with electric vehicle charging infrastructure. Electrical rooms serving parking areas must be designed to accommodate the electrical equipment and distribution required to serve a minimum of fifty percent of the total parking spaces with 208/240 V 40-amp electric vehicle charging infrastructure. When electric vehicle charging infrastructure is required, two accessible parking spaces must be served by electric vehicle charging infrastructure. The electric vehicle charging infrastructure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or mercantile, the requirements of this section apply only to employee parking spaces. The requirements of this section do not apply to occupancies classified as residential R-3, utility, or miscellaneous.</w:t>
      </w:r>
    </w:p>
    <w:p/>
    <w:p>
      <w:pPr>
        <w:jc w:val="center"/>
      </w:pPr>
      <w:r>
        <w:rPr>
          <w:b/>
        </w:rPr>
        <w:t>--- END ---</w:t>
      </w:r>
    </w:p>
    <w:sectPr>
      <w:pgNumType w:start="1"/>
      <w:footerReference xmlns:r="http://schemas.openxmlformats.org/officeDocument/2006/relationships" r:id="R8b4c8706d57246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56f7c5e27409f" /><Relationship Type="http://schemas.openxmlformats.org/officeDocument/2006/relationships/footer" Target="/word/footer1.xml" Id="R8b4c8706d5724673" /></Relationships>
</file>