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34d35227845e2" /></Relationships>
</file>

<file path=word/document.xml><?xml version="1.0" encoding="utf-8"?>
<w:document xmlns:w="http://schemas.openxmlformats.org/wordprocessingml/2006/main">
  <w:body>
    <w:p>
      <w:r>
        <w:t>S-0605.6</w:t>
      </w:r>
    </w:p>
    <w:p>
      <w:pPr>
        <w:jc w:val="center"/>
      </w:pPr>
      <w:r>
        <w:t>_______________________________________________</w:t>
      </w:r>
    </w:p>
    <w:p/>
    <w:p>
      <w:pPr>
        <w:jc w:val="center"/>
      </w:pPr>
      <w:r>
        <w:rPr>
          <w:b/>
        </w:rPr>
        <w:t>SENATE BILL 5295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Hasegawa, and Saldaña</w:t>
      </w:r>
    </w:p>
    <w:p/>
    <w:p>
      <w:r>
        <w:rPr>
          <w:t xml:space="preserve">Read first time 01/17/19.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labor neutrality and contractor compliance for certain contracted service providers; amending RCW 39.26.200;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prevent or mitigate service disruptions caused by labor unrest within private sector providers of certain state services that could harm vulnerable members of the community or compromise the efficient delivery of state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Any contract entered into by the department with a private contractor for adult care, behavioral health, disability support, or youth services must contain a provision that requires the private contractor to have a labor neutrality agreement between it and any labor organization representing or seeking to represent the employees of the private contractor who perform or will perform work under the contract.</w:t>
      </w:r>
    </w:p>
    <w:p>
      <w:pPr>
        <w:spacing w:before="0" w:after="0" w:line="408" w:lineRule="exact"/>
        <w:ind w:left="0" w:right="0" w:firstLine="576"/>
        <w:jc w:val="left"/>
      </w:pPr>
      <w:r>
        <w:rPr/>
        <w:t xml:space="preserve">(2) The labor neutrality agreements required in subsection (1) of this section must, at a minimum, contain provisions that:</w:t>
      </w:r>
    </w:p>
    <w:p>
      <w:pPr>
        <w:spacing w:before="0" w:after="0" w:line="408" w:lineRule="exact"/>
        <w:ind w:left="0" w:right="0" w:firstLine="576"/>
        <w:jc w:val="left"/>
      </w:pPr>
      <w:r>
        <w:rPr/>
        <w:t xml:space="preserve">(a) Require the contractor remain neutral in its policies, practices, and activities with regard to its employees seeking to exercise rights guaranteed by the national labor relations act, 29 U.S.C. Sec. 151 et seq.;</w:t>
      </w:r>
    </w:p>
    <w:p>
      <w:pPr>
        <w:spacing w:before="0" w:after="0" w:line="408" w:lineRule="exact"/>
        <w:ind w:left="0" w:right="0" w:firstLine="576"/>
        <w:jc w:val="left"/>
      </w:pPr>
      <w:r>
        <w:rPr/>
        <w:t xml:space="preserve">(b) Provide for an election by card check as a means to certify representation;</w:t>
      </w:r>
    </w:p>
    <w:p>
      <w:pPr>
        <w:spacing w:before="0" w:after="0" w:line="408" w:lineRule="exact"/>
        <w:ind w:left="0" w:right="0" w:firstLine="576"/>
        <w:jc w:val="left"/>
      </w:pPr>
      <w:r>
        <w:rPr/>
        <w:t xml:space="preserve">(c) Require the contractor to provide a list of current workers upon request of the labor organization; and</w:t>
      </w:r>
    </w:p>
    <w:p>
      <w:pPr>
        <w:spacing w:before="0" w:after="0" w:line="408" w:lineRule="exact"/>
        <w:ind w:left="0" w:right="0" w:firstLine="576"/>
        <w:jc w:val="left"/>
      </w:pPr>
      <w:r>
        <w:rPr/>
        <w:t xml:space="preserve">(d) Prohibit the contractor from expending income from state contracts or other sources to obstruct, delay, or in any way compromise the labor neutrality agreement.</w:t>
      </w:r>
    </w:p>
    <w:p>
      <w:pPr>
        <w:spacing w:before="0" w:after="0" w:line="408" w:lineRule="exact"/>
        <w:ind w:left="0" w:right="0" w:firstLine="576"/>
        <w:jc w:val="left"/>
      </w:pPr>
      <w:r>
        <w:rPr/>
        <w:t xml:space="preserve">(3) In awarding contracts listed in subsection (1) of this section, the department must require bidders to disclose past violations of the national labor relations act, 29 U.S.C. Sec. 151 et seq., as determined by the national labor relations board. The department must take into consideration such violations in awarding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r>
        <w:rPr>
          <w:u w:val="single"/>
        </w:rPr>
        <w:t xml:space="preserve">. Significant findings by an administrative law judge of the national labor relations board of unfair labor practices by a contractor are grounds for termination of a contract with the contractor</w:t>
      </w:r>
      <w:r>
        <w:rPr/>
        <w:t xml:space="preserve">;</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
      <w:pPr>
        <w:jc w:val="center"/>
      </w:pPr>
      <w:r>
        <w:rPr>
          <w:b/>
        </w:rPr>
        <w:t>--- END ---</w:t>
      </w:r>
    </w:p>
    <w:sectPr>
      <w:pgNumType w:start="1"/>
      <w:footerReference xmlns:r="http://schemas.openxmlformats.org/officeDocument/2006/relationships" r:id="R74c5aa68e17942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5ec5c0e3745e7" /><Relationship Type="http://schemas.openxmlformats.org/officeDocument/2006/relationships/footer" Target="/word/footer1.xml" Id="R74c5aa68e1794248" /></Relationships>
</file>