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4ca52292b44c94" /></Relationships>
</file>

<file path=word/document.xml><?xml version="1.0" encoding="utf-8"?>
<w:document xmlns:w="http://schemas.openxmlformats.org/wordprocessingml/2006/main">
  <w:body>
    <w:p>
      <w:r>
        <w:t>Z-0404.1</w:t>
      </w:r>
    </w:p>
    <w:p>
      <w:pPr>
        <w:jc w:val="center"/>
      </w:pPr>
      <w:r>
        <w:t>_______________________________________________</w:t>
      </w:r>
    </w:p>
    <w:p/>
    <w:p>
      <w:pPr>
        <w:jc w:val="center"/>
      </w:pPr>
      <w:r>
        <w:rPr>
          <w:b/>
        </w:rPr>
        <w:t>SENATE BILL 5336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Carlyle, Nguyen, Saldaña, Hasegawa, Dhingra, Frockt, and Kuderer; by request of Office of the Governor</w:t>
      </w:r>
    </w:p>
    <w:p/>
    <w:p>
      <w:r>
        <w:rPr>
          <w:t xml:space="preserve">Read first time 01/17/19.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electric transportation; amending RCW 46.17.323, 70.120A.010, 35.92.355, and 80.28.360; adding a new section to chapter 82.08 RCW; adding a new section to chapter 82.12 RCW; adding a new section to chapter 46.17 RCW; adding a new section to chapter 70.120A RCW; adding a new section to chapter 35.92 RCW; adding a new section to chapter 80.28 RCW; creating new sections; providing an effective date; providing contingent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ELECTRIC VEHICLE SALES TAX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This section is the tax preference performance statement for the tax preferences contained in sections 102 and 103, chapter . . ., Laws of 2019 (sections 102 and 103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make electric vehicles more accessible and affordable to everyone.</w:t>
      </w:r>
    </w:p>
    <w:p>
      <w:pPr>
        <w:spacing w:before="0" w:after="0" w:line="408" w:lineRule="exact"/>
        <w:ind w:left="0" w:right="0" w:firstLine="576"/>
        <w:jc w:val="left"/>
      </w:pPr>
      <w:r>
        <w:rPr/>
        <w:t xml:space="preserve">(4) If the review finds that the cumulative number of qualifying vehicles titled in the state equals or exceeds two percent of all passenger cars, light duty trucks, and medium duty passenger vehicles titled in the state,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an electric battery; and</w:t>
      </w:r>
    </w:p>
    <w:p>
      <w:pPr>
        <w:spacing w:before="0" w:after="0" w:line="408" w:lineRule="exact"/>
        <w:ind w:left="0" w:right="0" w:firstLine="576"/>
        <w:jc w:val="left"/>
      </w:pPr>
      <w:r>
        <w:rPr/>
        <w:t xml:space="preserve">(ii)(A) Have at the time of sale a lowest manufacturer's suggested retail price of forty-five thousand dollars or less, as determined by the department of licensing, for the base model; or</w:t>
      </w:r>
    </w:p>
    <w:p>
      <w:pPr>
        <w:spacing w:before="0" w:after="0" w:line="408" w:lineRule="exact"/>
        <w:ind w:left="0" w:right="0" w:firstLine="576"/>
        <w:jc w:val="left"/>
      </w:pPr>
      <w:r>
        <w:rPr/>
        <w:t xml:space="preserve">(B) Have at the inception of the lease a lowest manufacturer's suggested retail price of forty-five thousand dollars or less, as determined by the department of licensing, for the base model.</w:t>
      </w:r>
    </w:p>
    <w:p>
      <w:pPr>
        <w:spacing w:before="0" w:after="0" w:line="408" w:lineRule="exact"/>
        <w:ind w:left="0" w:right="0" w:firstLine="576"/>
        <w:jc w:val="left"/>
      </w:pPr>
      <w:r>
        <w:rPr/>
        <w:t xml:space="preserve">(b)(i) Except as provided otherwise in (b)(ii) of this subsection, the exemption in this section is applicable for up to one thousand dollars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If the tax on any vehicle that meets the criteria of (a) of this subsection is less than one thousand dollars, all of the tax levied by RCW 82.08.020 is exempt.</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The department of licensing must maintain and publish a list of all vehicle models qualifying for the sales tax exemption under this section until the expiration date of this section.</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created in section 104 of this act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(5)(a) By the end of the fifth working day of each month, until this section expires, the department of licensing must determine the cumulative number of vehicles that qualify for the exemption under this section titled on or after the qualification period start date, and provide notice of the cumulative number of these vehicles to the department.</w:t>
      </w:r>
    </w:p>
    <w:p>
      <w:pPr>
        <w:spacing w:before="0" w:after="0" w:line="408" w:lineRule="exact"/>
        <w:ind w:left="0" w:right="0" w:firstLine="576"/>
        <w:jc w:val="left"/>
      </w:pPr>
      <w:r>
        <w:rPr/>
        <w:t xml:space="preserve">(b) The department of licensing must notify the department once the cumulative number of vehicles that qualify for the exemption under this section titled in the state on or after the qualification period start date, equals or exceeds ten percent of all passenger cars, light duty trucks, and medium duty passenger vehicles titled in the state.</w:t>
      </w:r>
    </w:p>
    <w:p>
      <w:pPr>
        <w:spacing w:before="0" w:after="0" w:line="408" w:lineRule="exact"/>
        <w:ind w:left="0" w:right="0" w:firstLine="576"/>
        <w:jc w:val="left"/>
      </w:pPr>
      <w:r>
        <w:rPr/>
        <w:t xml:space="preserve">(6) By the last day of July 2019, and every six months thereafter until this section expires, based on the best available data, the department must report the following information to the transportation committees of the legislature: The cumulative number of vehicles that qualify for the exemption under this section titled in the state on or after the qualification period start date, as reported to it by the department of licensing; and the dollar amount of all state retail sales and use taxes exempted on or after the qualification period start date, under this section and section 103 of this act.</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"Base model" means the lowest priced version of the vehicle model for which the exemption under this section or section 103 of this act is sought that:</w:t>
      </w:r>
    </w:p>
    <w:p>
      <w:pPr>
        <w:spacing w:before="0" w:after="0" w:line="408" w:lineRule="exact"/>
        <w:ind w:left="0" w:right="0" w:firstLine="576"/>
        <w:jc w:val="left"/>
      </w:pPr>
      <w:r>
        <w:rPr/>
        <w:t xml:space="preserve">(i) Is the same model year as the vehicle for which the exemption under this section or section 103 of this act is sought;</w:t>
      </w:r>
    </w:p>
    <w:p>
      <w:pPr>
        <w:spacing w:before="0" w:after="0" w:line="408" w:lineRule="exact"/>
        <w:ind w:left="0" w:right="0" w:firstLine="576"/>
        <w:jc w:val="left"/>
      </w:pPr>
      <w:r>
        <w:rPr/>
        <w:t xml:space="preserve">(ii) Meets the same criteria of subsection (1)(a)(i) or (ii) of this section as the vehicle for which the exemption under this section or section 103 of this act is sought; and</w:t>
      </w:r>
    </w:p>
    <w:p>
      <w:pPr>
        <w:spacing w:before="0" w:after="0" w:line="408" w:lineRule="exact"/>
        <w:ind w:left="0" w:right="0" w:firstLine="576"/>
        <w:jc w:val="left"/>
      </w:pPr>
      <w:r>
        <w:rPr/>
        <w:t xml:space="preserve">(iii) Is available for retail sale or lease to consumers.</w:t>
      </w:r>
    </w:p>
    <w:p>
      <w:pPr>
        <w:spacing w:before="0" w:after="0" w:line="408" w:lineRule="exact"/>
        <w:ind w:left="0" w:right="0" w:firstLine="576"/>
        <w:jc w:val="left"/>
      </w:pPr>
      <w:r>
        <w:rPr/>
        <w:t xml:space="preserve">(b) "Qualification period end date" means the date identified in subsection (8)(a) of this section.</w:t>
      </w:r>
    </w:p>
    <w:p>
      <w:pPr>
        <w:spacing w:before="0" w:after="0" w:line="408" w:lineRule="exact"/>
        <w:ind w:left="0" w:right="0" w:firstLine="576"/>
        <w:jc w:val="left"/>
      </w:pPr>
      <w:r>
        <w:rPr/>
        <w:t xml:space="preserve">(c) "Qualification period start date" means sixty days after the effective date of this section.</w:t>
      </w:r>
    </w:p>
    <w:p>
      <w:pPr>
        <w:spacing w:before="0" w:after="0" w:line="408" w:lineRule="exact"/>
        <w:ind w:left="0" w:right="0" w:firstLine="576"/>
        <w:jc w:val="left"/>
      </w:pPr>
      <w:r>
        <w:rPr/>
        <w:t xml:space="preserve">(d) "Used" means a passenger car, light duty truck, or medium duty passenger vehicle that has been previously owned by a person.</w:t>
      </w:r>
    </w:p>
    <w:p>
      <w:pPr>
        <w:spacing w:before="0" w:after="0" w:line="408" w:lineRule="exact"/>
        <w:ind w:left="0" w:right="0" w:firstLine="576"/>
        <w:jc w:val="left"/>
      </w:pPr>
      <w:r>
        <w:rPr/>
        <w:t xml:space="preserve">(8)(a) Sales of vehicles delivered to the buyer or leased vehicles for which the lease agreement was signed after the last day of the third calendar month immediately following the month the department receives notice from the department of licensing under subsection (5)(b) of this section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(c) For the purposes of (a) of this subsection, if the department of licensing provides the department with notice under subsection (5) of this section after the end of the fifth working day of the month, the notice is deemed to have been received by the department the following month.</w:t>
      </w:r>
    </w:p>
    <w:p>
      <w:pPr>
        <w:spacing w:before="0" w:after="0" w:line="408" w:lineRule="exact"/>
        <w:ind w:left="0" w:right="0" w:firstLine="576"/>
        <w:jc w:val="left"/>
      </w:pPr>
      <w:r>
        <w:rPr/>
        <w:t xml:space="preserve">(9)(a) Upon receiving notice from the department of licensing under subsection (5)(b) of this section, the department must provide:</w:t>
      </w:r>
    </w:p>
    <w:p>
      <w:pPr>
        <w:spacing w:before="0" w:after="0" w:line="408" w:lineRule="exact"/>
        <w:ind w:left="0" w:right="0" w:firstLine="576"/>
        <w:jc w:val="left"/>
      </w:pPr>
      <w:r>
        <w:rPr/>
        <w:t xml:space="preserve">(i) Written notice of the qualification period end date and the expiration date of this section to affected parties, the chief clerk of the house of representatives, the secretary of the senate, the office of the code reviser, and others as deemed appropriate by the department; and</w:t>
      </w:r>
    </w:p>
    <w:p>
      <w:pPr>
        <w:spacing w:before="0" w:after="0" w:line="408" w:lineRule="exact"/>
        <w:ind w:left="0" w:right="0" w:firstLine="576"/>
        <w:jc w:val="left"/>
      </w:pPr>
      <w:r>
        <w:rPr/>
        <w:t xml:space="preserve">(ii) Electronic notice of the qualification period end date and the expiration date of this section on its web site as soon as practicable.</w:t>
      </w:r>
    </w:p>
    <w:p>
      <w:pPr>
        <w:spacing w:before="0" w:after="0" w:line="408" w:lineRule="exact"/>
        <w:ind w:left="0" w:right="0" w:firstLine="576"/>
        <w:jc w:val="left"/>
      </w:pPr>
      <w:r>
        <w:rPr/>
        <w:t xml:space="preserve">(b) Nothing in this subsection (9) may be construed to affect the validity of any exemption properly allowed by a seller under this section before the expiration date of this section and reported to the department on returns filed after the expiration date of this section.</w:t>
      </w:r>
    </w:p>
    <w:p>
      <w:pPr>
        <w:spacing w:before="0" w:after="0" w:line="408" w:lineRule="exact"/>
        <w:ind w:left="0" w:right="0" w:firstLine="576"/>
        <w:jc w:val="left"/>
      </w:pPr>
      <w:r>
        <w:rPr/>
        <w:t xml:space="preserve">(10) This section expires four years from the qualification period end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an electric battery; and</w:t>
      </w:r>
    </w:p>
    <w:p>
      <w:pPr>
        <w:spacing w:before="0" w:after="0" w:line="408" w:lineRule="exact"/>
        <w:ind w:left="0" w:right="0" w:firstLine="576"/>
        <w:jc w:val="left"/>
      </w:pPr>
      <w:r>
        <w:rPr/>
        <w:t xml:space="preserve">(ii)(A) Have at the time of sale a lowest manufacturer's suggested retail price of forty-five thousand dollars or less, as determined by the department of licensing, for the base model; or</w:t>
      </w:r>
    </w:p>
    <w:p>
      <w:pPr>
        <w:spacing w:before="0" w:after="0" w:line="408" w:lineRule="exact"/>
        <w:ind w:left="0" w:right="0" w:firstLine="576"/>
        <w:jc w:val="left"/>
      </w:pPr>
      <w:r>
        <w:rPr/>
        <w:t xml:space="preserve">(B) Have at the inception of the lease a lowest manufacturer's suggested retail price of forty-five thousand dollars or less, as determined by the department of licensing, for the base model.</w:t>
      </w:r>
    </w:p>
    <w:p>
      <w:pPr>
        <w:spacing w:before="0" w:after="0" w:line="408" w:lineRule="exact"/>
        <w:ind w:left="0" w:right="0" w:firstLine="576"/>
        <w:jc w:val="left"/>
      </w:pPr>
      <w:r>
        <w:rPr/>
        <w:t xml:space="preserve">(b)(i) Except as provided otherwise in (b)(ii) of this subsection, the exemption in this section is applicable for up to one thousand dollars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If the tax on any vehicle that meets the criteria of (a) of this subsection is less than one thousand dollars, all of the tax levied under this chapter is exempt.</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created in section 104 of this act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(5) The definitions in section 102 of this act apply to this section.</w:t>
      </w:r>
    </w:p>
    <w:p>
      <w:pPr>
        <w:spacing w:before="0" w:after="0" w:line="408" w:lineRule="exact"/>
        <w:ind w:left="0" w:right="0" w:firstLine="576"/>
        <w:jc w:val="left"/>
      </w:pPr>
      <w:r>
        <w:rPr/>
        <w:t xml:space="preserve">(6)(a) When the department of licensing determines under section 102(5)(b) of this act that the cumulative number of vehicles that qualify for the exemption under this section titled in the state on or after the qualification period start date equals or exceeds ten percent of all passenger cars, light duty trucks, and medium duty passenger vehicles titled in the state, this section expires four years from the qualification period end date.</w:t>
      </w:r>
    </w:p>
    <w:p>
      <w:pPr>
        <w:spacing w:before="0" w:after="0" w:line="408" w:lineRule="exact"/>
        <w:ind w:left="0" w:right="0" w:firstLine="576"/>
        <w:jc w:val="left"/>
      </w:pPr>
      <w:r>
        <w:rPr/>
        <w:t xml:space="preserve">(b) The department must provide:</w:t>
      </w:r>
    </w:p>
    <w:p>
      <w:pPr>
        <w:spacing w:before="0" w:after="0" w:line="408" w:lineRule="exact"/>
        <w:ind w:left="0" w:right="0" w:firstLine="576"/>
        <w:jc w:val="left"/>
      </w:pPr>
      <w:r>
        <w:rPr/>
        <w:t xml:space="preserve">(i) Written notice of the qualification period end date and the expiration date of this section to affected parties, the chief clerk of the house of representatives, the secretary of the senate, the office of the code reviser, and others as deemed appropriate by the department; and</w:t>
      </w:r>
    </w:p>
    <w:p>
      <w:pPr>
        <w:spacing w:before="0" w:after="0" w:line="408" w:lineRule="exact"/>
        <w:ind w:left="0" w:right="0" w:firstLine="576"/>
        <w:jc w:val="left"/>
      </w:pPr>
      <w:r>
        <w:rPr/>
        <w:t xml:space="preserve">(ii) Electronic notice of the qualification period end date and the expiration date of this section on its web site as soon as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electric vehicle account is created in the custody of the state treasurer. All receipts from electric vehicle registration renewal fees collected under RCW 46.17.323 must be deposited into the account. Expenditures from the account may be used for electric vehicle purchase and lease incentives, electric vehicle support equipment incentives including the electric vehicle infrastructure bank, electric vehicle awareness and education programs, and state road operations, maintenance, and preservation. The state treasurer must transfer funds from the account as provided in sections 102 and 103 of this act.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w:t>
      </w:r>
      <w:r>
        <w:t>((</w:t>
      </w:r>
      <w:r>
        <w:rPr>
          <w:strike/>
        </w:rPr>
        <w:t xml:space="preserve">(a)</w:t>
      </w:r>
      <w:r>
        <w:t>))</w:t>
      </w:r>
      <w:r>
        <w:rPr/>
        <w:t xml:space="preserve"> The fee under this section </w:t>
      </w:r>
      <w:r>
        <w:t>((</w:t>
      </w:r>
      <w:r>
        <w:rPr>
          <w:strike/>
        </w:rPr>
        <w:t xml:space="preserve">is imposed to provide funds to mitigate the impact of vehicles on state roads and highways and for the purpose of evaluating the feasibility of transitioning from a revenue collection system based on fuel taxes to a road user assessment system, and</w:t>
      </w:r>
      <w:r>
        <w:t>))</w:t>
      </w:r>
      <w:r>
        <w:rPr/>
        <w:t xml:space="preserve"> is separate and distinct from other vehicle license fees. Proceeds from the fee must be </w:t>
      </w:r>
      <w:r>
        <w:t>((</w:t>
      </w:r>
      <w:r>
        <w:rPr>
          <w:strike/>
        </w:rPr>
        <w:t xml:space="preserve">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strike/>
        </w:rPr>
        <w:t xml:space="preserve">(i) Seventy percent to the motor vehicle fund created in RCW 46.68.070;</w:t>
      </w:r>
    </w:p>
    <w:p>
      <w:pPr>
        <w:spacing w:before="0" w:after="0" w:line="408" w:lineRule="exact"/>
        <w:ind w:left="0" w:right="0" w:firstLine="576"/>
        <w:jc w:val="left"/>
      </w:pPr>
      <w:r>
        <w:rPr>
          <w:strike/>
        </w:rPr>
        <w:t xml:space="preserve">(ii) Fifteen percent to the transportation improvement account created in RCW 47.26.084; and</w:t>
      </w:r>
    </w:p>
    <w:p>
      <w:pPr>
        <w:spacing w:before="0" w:after="0" w:line="408" w:lineRule="exact"/>
        <w:ind w:left="0" w:right="0" w:firstLine="576"/>
        <w:jc w:val="left"/>
      </w:pPr>
      <w:r>
        <w:rPr>
          <w:strike/>
        </w:rPr>
        <w:t xml:space="preserve">(iii) Fifteen percent to the rural arterial trust account created in RCW 36.79.020</w:t>
      </w:r>
      <w:r>
        <w:t>))</w:t>
      </w:r>
      <w:r>
        <w:rPr/>
        <w:t xml:space="preserve"> </w:t>
      </w:r>
      <w:r>
        <w:rPr>
          <w:u w:val="single"/>
        </w:rPr>
        <w:t xml:space="preserve">deposited in the electric vehicle account created in section 104 of this act</w:t>
      </w:r>
      <w:r>
        <w:rPr/>
        <w:t xml:space="preserve">.</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w:t>
      </w:r>
      <w:r>
        <w:t>((</w:t>
      </w:r>
      <w:r>
        <w:rPr>
          <w:strike/>
        </w:rPr>
        <w:t xml:space="preserve">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r>
        <w:rPr/>
        <w:t xml:space="preserve"> </w:t>
      </w:r>
      <w:r>
        <w:rPr>
          <w:u w:val="single"/>
        </w:rPr>
        <w:t xml:space="preserve">All of the proceeds of the fee collected under (a) of this subsection must be deposited into the electric vehicle account created in section 104 of this act</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ELECTRIC ZERO EMISSION VEHICLE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w:t>
      </w:r>
      <w:r>
        <w:t>((</w:t>
      </w:r>
      <w:r>
        <w:rPr>
          <w:strike/>
        </w:rPr>
        <w:t xml:space="preserve">shall</w:t>
      </w:r>
      <w:r>
        <w:t>))</w:t>
      </w:r>
      <w:r>
        <w:rPr/>
        <w:t xml:space="preserve"> </w:t>
      </w:r>
      <w:r>
        <w:rPr>
          <w:u w:val="single"/>
        </w:rPr>
        <w:t xml:space="preserve">must</w:t>
      </w:r>
      <w:r>
        <w:rPr/>
        <w:t xml:space="preserve"> adopt rules to implement the emission standards of the state of California for passenger cars, light duty trucks, and medium duty </w:t>
      </w:r>
      <w:r>
        <w:t>((</w:t>
      </w:r>
      <w:r>
        <w:rPr>
          <w:strike/>
        </w:rPr>
        <w:t xml:space="preserve">passenger</w:t>
      </w:r>
      <w:r>
        <w:t>))</w:t>
      </w:r>
      <w:r>
        <w:rPr/>
        <w:t xml:space="preserve"> vehicles, and </w:t>
      </w:r>
      <w:r>
        <w:t>((</w:t>
      </w:r>
      <w:r>
        <w:rPr>
          <w:strike/>
        </w:rPr>
        <w:t xml:space="preserve">shall</w:t>
      </w:r>
      <w:r>
        <w:t>))</w:t>
      </w:r>
      <w:r>
        <w:rPr/>
        <w:t xml:space="preserve"> </w:t>
      </w:r>
      <w:r>
        <w:rPr>
          <w:u w:val="single"/>
        </w:rPr>
        <w:t xml:space="preserve">must</w:t>
      </w:r>
      <w:r>
        <w:rPr/>
        <w:t xml:space="preserve">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w:t>
      </w:r>
      <w:r>
        <w:t>))</w:t>
      </w:r>
      <w:r>
        <w:rPr/>
        <w:t xml:space="preserve"> The rules </w:t>
      </w:r>
      <w:r>
        <w:t>((</w:t>
      </w:r>
      <w:r>
        <w:rPr>
          <w:strike/>
        </w:rPr>
        <w:t xml:space="preserve">shall be</w:t>
      </w:r>
      <w:r>
        <w:t>))</w:t>
      </w:r>
      <w:r>
        <w:rPr/>
        <w:t xml:space="preserve"> </w:t>
      </w:r>
      <w:r>
        <w:rPr>
          <w:u w:val="single"/>
        </w:rPr>
        <w:t xml:space="preserve">are</w:t>
      </w:r>
      <w:r>
        <w:rPr/>
        <w:t xml:space="preserv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120A</w:t>
      </w:r>
      <w:r>
        <w:rPr/>
        <w:t xml:space="preserve"> RCW</w:t>
      </w:r>
      <w:r>
        <w:rPr/>
        <w:t xml:space="preserve"> to read as follows:</w:t>
      </w:r>
    </w:p>
    <w:p>
      <w:pPr>
        <w:spacing w:before="0" w:after="0" w:line="408" w:lineRule="exact"/>
        <w:ind w:left="0" w:right="0" w:firstLine="576"/>
        <w:jc w:val="left"/>
      </w:pPr>
      <w:r>
        <w:rPr/>
        <w:t xml:space="preserve">The department of ecology must adopt the zero emission vehicle program regulations contained in Title 13, section 1962, 1962.1, and 1962.2 of the California Code of Regulations effective July 1, 2018, and must amend the rules from time to time, to maintain consistency with the California motor vehicle emission standards and 42 U.S.C. Sec. 7507 (section 177 of the federal clean air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programs for electrification of transportation have the potential to allow electric utilities to optimize the use of electric grid infrastructure, improve the management of electric loads, and better manage the integration of variable renewable energy and energy storage resources. Transportation electrification programs can provide cost-effective energy efficiency through energy savings, more efficient use of energy resources, and more efficient use of electric distribution system resources and infrastructure. This cost-effective energy efficiency results in cost savings and benefits for all ratepayers. Additional potential benefits associated with transportation electrification include the environmental attributes associated with carbon reduction in the transportation sector.</w:t>
      </w:r>
    </w:p>
    <w:p>
      <w:pPr>
        <w:spacing w:before="0" w:after="0" w:line="408" w:lineRule="exact"/>
        <w:ind w:left="0" w:right="0" w:firstLine="576"/>
        <w:jc w:val="left"/>
      </w:pPr>
      <w:r>
        <w:rPr/>
        <w:t xml:space="preserve">The legislature further finds that the transportation sector is Washington's largest contributor to greenhouse gas emissions and hazardous air pollutants, as defined by federal national ambient air quality standards and mobile source air toxics rules, and that state policy can achieve the greatest return on investment in reducing greenhouse gas emissions and improving air quality by expediting the transition to alternative fuel vehicles and equipment, including electric vehicles and equipment.</w:t>
      </w:r>
    </w:p>
    <w:p>
      <w:pPr>
        <w:spacing w:before="0" w:after="0" w:line="408" w:lineRule="exact"/>
        <w:ind w:left="0" w:right="0" w:firstLine="576"/>
        <w:jc w:val="left"/>
      </w:pPr>
      <w:r>
        <w:rPr/>
        <w:t xml:space="preserve">The legislature finds that as with traditional energy conservation programs that provide financing for more efficient use of energy in existing buildings and structures, programs that directly provide for electrification of transportation or that provide financing of such electrification have the potential to enable utilities and their customers to achieve more efficient use of energy resources and electric distribution system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355</w:t>
      </w:r>
      <w:r>
        <w:rPr/>
        <w:t xml:space="preserve"> and 1993 c 204 s 5 are each amended to read as follows:</w:t>
      </w:r>
    </w:p>
    <w:p>
      <w:pPr>
        <w:spacing w:before="0" w:after="0" w:line="408" w:lineRule="exact"/>
        <w:ind w:left="0" w:right="0" w:firstLine="576"/>
        <w:jc w:val="left"/>
      </w:pPr>
      <w:r>
        <w:rPr>
          <w:u w:val="single"/>
        </w:rPr>
        <w:t xml:space="preserve">(1)</w:t>
      </w:r>
      <w:r>
        <w:rPr/>
        <w:t xml:space="preserve"> The conservation of energy in all forms and by every possible means is found and declared to be a public purpose of highest priority. The legislature further finds and declares that all municipal corporations, quasi</w:t>
      </w:r>
      <w:r>
        <w:rPr>
          <w:u w:val="single"/>
        </w:rPr>
        <w:t xml:space="preserve">-</w:t>
      </w:r>
      <w:r>
        <w:rPr/>
        <w:t xml:space="preserve">municipal corporations, and other political subdivisions of the state which are engaged in the generation, sale, or distribution of energy should be granted the authority to develop and carry out programs which will conserve resources, reduce waste, and encourage more efficient use of energy </w:t>
      </w:r>
      <w:r>
        <w:rPr>
          <w:u w:val="single"/>
        </w:rPr>
        <w:t xml:space="preserve">and energy infrastructure</w:t>
      </w:r>
      <w:r>
        <w:rPr/>
        <w:t xml:space="preserve"> by consumers </w:t>
      </w:r>
      <w:r>
        <w:rPr>
          <w:u w:val="single"/>
        </w:rPr>
        <w:t xml:space="preserve">and utilities</w:t>
      </w:r>
      <w:r>
        <w:rPr/>
        <w:t xml:space="preserve">.</w:t>
      </w:r>
    </w:p>
    <w:p>
      <w:pPr>
        <w:spacing w:before="0" w:after="0" w:line="408" w:lineRule="exact"/>
        <w:ind w:left="0" w:right="0" w:firstLine="576"/>
        <w:jc w:val="left"/>
      </w:pPr>
      <w:r>
        <w:rPr>
          <w:u w:val="single"/>
        </w:rPr>
        <w:t xml:space="preserve">(2)</w:t>
      </w:r>
      <w:r>
        <w:rPr/>
        <w:t xml:space="preserve"> In order to establish the most effective statewide program for energy conservation </w:t>
      </w:r>
      <w:r>
        <w:rPr>
          <w:u w:val="single"/>
        </w:rPr>
        <w:t xml:space="preserve">and energy infrastructure efficiency</w:t>
      </w:r>
      <w:r>
        <w:rPr/>
        <w:t xml:space="preserve">, the legislature hereby encourages </w:t>
      </w:r>
      <w:r>
        <w:rPr>
          <w:u w:val="single"/>
        </w:rPr>
        <w:t xml:space="preserve">and authorizes</w:t>
      </w:r>
      <w:r>
        <w:rPr/>
        <w:t xml:space="preserve"> any company, corporation, or association engaged in selling or furnishing utility services to assist their customers in the acquisition and installation of materials and equipment, for compensation or otherwise, for the conservation </w:t>
      </w:r>
      <w:r>
        <w:t>((</w:t>
      </w:r>
      <w:r>
        <w:rPr>
          <w:strike/>
        </w:rPr>
        <w:t xml:space="preserve">or</w:t>
      </w:r>
      <w:r>
        <w:t>))</w:t>
      </w:r>
      <w:r>
        <w:rPr/>
        <w:t xml:space="preserve"> </w:t>
      </w:r>
      <w:r>
        <w:rPr>
          <w:u w:val="single"/>
        </w:rPr>
        <w:t xml:space="preserve">and</w:t>
      </w:r>
      <w:r>
        <w:rPr/>
        <w:t xml:space="preserve"> more efficient use of energy </w:t>
      </w:r>
      <w:r>
        <w:rPr>
          <w:u w:val="single"/>
        </w:rPr>
        <w:t xml:space="preserve">and energy infrastructure, including electric vehicle supply equipment</w:t>
      </w:r>
      <w:r>
        <w:rPr/>
        <w:t xml:space="preserve">. The use of appropriate tree plantings for energy conservation is encouraged as part of these programs.</w:t>
      </w:r>
    </w:p>
    <w:p>
      <w:pPr>
        <w:spacing w:before="0" w:after="0" w:line="408" w:lineRule="exact"/>
        <w:ind w:left="0" w:right="0" w:firstLine="576"/>
        <w:jc w:val="left"/>
      </w:pPr>
      <w:r>
        <w:rPr>
          <w:u w:val="single"/>
        </w:rPr>
        <w:t xml:space="preserve">(3) The legislature finds that utilities that are traditionally responsible for providing electric service to customers, and for understanding and engineering the electrical grid for safety and reliability, must be engaged in the electrification of the transportation system. The legislature further finds that it has given utilities other policy authority to promote energy conservation activities, which do not make the benefits of building out electric vehicle supply equipment, as well as any subsequent increase in energy consumption, readily apparent. Therefore, it is the intent of the legislature to provide clear authority for utilities to engage in and promote the build out of electric vehicle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city or town engaged in the generation, sale, or distribution of energy and that has four hundred thousand or more customers may, within limits established by the Constitution of the state of Washington:</w:t>
      </w:r>
    </w:p>
    <w:p>
      <w:pPr>
        <w:spacing w:before="0" w:after="0" w:line="408" w:lineRule="exact"/>
        <w:ind w:left="0" w:right="0" w:firstLine="576"/>
        <w:jc w:val="left"/>
      </w:pPr>
      <w:r>
        <w:rPr/>
        <w:t xml:space="preserve">(1) Assist its customers in financing the acquisition and installation of materials and equipment, for compensation or otherwise, for the electrification of transportation; and</w:t>
      </w:r>
    </w:p>
    <w:p>
      <w:pPr>
        <w:spacing w:before="0" w:after="0" w:line="408" w:lineRule="exact"/>
        <w:ind w:left="0" w:right="0" w:firstLine="576"/>
        <w:jc w:val="left"/>
      </w:pPr>
      <w:r>
        <w:rPr/>
        <w:t xml:space="preserve">(2) Offer programs, services, or investments in the electrification of transportation for its customers in such a way as to benefit ratepayers, pursuant to an electrification of transportation plan adopted by the governing body of the city or town.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(2)(a) In reviewing an electrification of transportation plan under subsection (1) of this section, the commission must consider the following:</w:t>
      </w:r>
    </w:p>
    <w:p>
      <w:pPr>
        <w:spacing w:before="0" w:after="0" w:line="408" w:lineRule="exact"/>
        <w:ind w:left="0" w:right="0" w:firstLine="576"/>
        <w:jc w:val="left"/>
      </w:pPr>
      <w:r>
        <w:rPr/>
        <w:t xml:space="preserve">(i) The applicability of multiple options for electrification of transportation across all customer classes; </w:t>
      </w:r>
    </w:p>
    <w:p>
      <w:pPr>
        <w:spacing w:before="0" w:after="0" w:line="408" w:lineRule="exact"/>
        <w:ind w:left="0" w:right="0" w:firstLine="576"/>
        <w:jc w:val="left"/>
      </w:pPr>
      <w:r>
        <w:rPr/>
        <w:t xml:space="preserve">(ii) The impact of electrification on the utility's load, and whether demand response or other load management opportunities, including direct load control and dynamic pricing, are operationally appropriate;</w:t>
      </w:r>
    </w:p>
    <w:p>
      <w:pPr>
        <w:spacing w:before="0" w:after="0" w:line="408" w:lineRule="exact"/>
        <w:ind w:left="0" w:right="0" w:firstLine="576"/>
        <w:jc w:val="left"/>
      </w:pPr>
      <w:r>
        <w:rPr/>
        <w:t xml:space="preserve">(iii) System reliability and distribution system efficiencies;</w:t>
      </w:r>
    </w:p>
    <w:p>
      <w:pPr>
        <w:spacing w:before="0" w:after="0" w:line="408" w:lineRule="exact"/>
        <w:ind w:left="0" w:right="0" w:firstLine="576"/>
        <w:jc w:val="left"/>
      </w:pPr>
      <w:r>
        <w:rPr/>
        <w:t xml:space="preserve">(iv) Interoperability concerns, including the interoperability of hardware and software systems in electrification of transportation proposals;</w:t>
      </w:r>
    </w:p>
    <w:p>
      <w:pPr>
        <w:spacing w:before="0" w:after="0" w:line="408" w:lineRule="exact"/>
        <w:ind w:left="0" w:right="0" w:firstLine="576"/>
        <w:jc w:val="left"/>
      </w:pPr>
      <w:r>
        <w:rPr/>
        <w:t xml:space="preserve">(v) The benefits and costs of the plan actions; and</w:t>
      </w:r>
    </w:p>
    <w:p>
      <w:pPr>
        <w:spacing w:before="0" w:after="0" w:line="408" w:lineRule="exact"/>
        <w:ind w:left="0" w:right="0" w:firstLine="576"/>
        <w:jc w:val="left"/>
      </w:pPr>
      <w:r>
        <w:rPr/>
        <w:t xml:space="preserve">(vi) The overall customer experience.</w:t>
      </w:r>
    </w:p>
    <w:p>
      <w:pPr>
        <w:spacing w:before="0" w:after="0" w:line="408" w:lineRule="exact"/>
        <w:ind w:left="0" w:right="0" w:firstLine="576"/>
        <w:jc w:val="left"/>
      </w:pPr>
      <w:r>
        <w:rPr/>
        <w:t xml:space="preserve">(b) The commission must issue an acknowledgment of an electrification plan within four months of the submittal of the plan. The commission must establish by rule the requirements for preparation and submission of an electrification of transportation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on capital expenditures for electric vehicle supply equipment that is deployed </w:t>
      </w:r>
      <w:r>
        <w:t>((</w:t>
      </w:r>
      <w:r>
        <w:rPr>
          <w:strike/>
        </w:rPr>
        <w:t xml:space="preserve">for the benefit of ratepayers</w:t>
      </w:r>
      <w:r>
        <w:t>))</w:t>
      </w:r>
      <w:r>
        <w:rPr/>
        <w:t xml:space="preserve"> </w:t>
      </w:r>
      <w:r>
        <w:rPr>
          <w:u w:val="single"/>
        </w:rPr>
        <w:t xml:space="preserve">consistent with an electrification of transportation plan submitted by a utility</w:t>
      </w:r>
      <w:r>
        <w:rPr/>
        <w:t xml:space="preserve">,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 </w:t>
      </w:r>
      <w:r>
        <w:rPr>
          <w:u w:val="single"/>
        </w:rPr>
        <w:t xml:space="preserve">The incentive rate of return expires December 31, 2030.</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Part I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 and III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578978d805ce47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933b81709460b" /><Relationship Type="http://schemas.openxmlformats.org/officeDocument/2006/relationships/footer" Target="/word/footer1.xml" Id="R578978d805ce4740" /></Relationships>
</file>