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774c8612a4dd1" /></Relationships>
</file>

<file path=word/document.xml><?xml version="1.0" encoding="utf-8"?>
<w:document xmlns:w="http://schemas.openxmlformats.org/wordprocessingml/2006/main">
  <w:body>
    <w:p>
      <w:r>
        <w:t>S-0404.1</w:t>
      </w:r>
    </w:p>
    <w:p>
      <w:pPr>
        <w:jc w:val="center"/>
      </w:pPr>
      <w:r>
        <w:t>_______________________________________________</w:t>
      </w:r>
    </w:p>
    <w:p/>
    <w:p>
      <w:pPr>
        <w:jc w:val="center"/>
      </w:pPr>
      <w:r>
        <w:rPr>
          <w:b/>
        </w:rPr>
        <w:t>SENATE BILL 5430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Hunt,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who retired under alternate early retirement factors enacted in chapter 491, Laws of 2007, to use postretirement options prior to reaching age sixty-five; amending RCW 41.40.630, 41.40.820, 41.32.765, 41.32.875, 41.35.420, 41.35.680, and 28A.300.615; and repealing RCW 41.32.068.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t>((</w:t>
      </w: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41.40.037(2)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t>((</w:t>
      </w: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41.40.037(2)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t>((</w:t>
      </w: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41.32.802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t>((</w:t>
      </w: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41.32.862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t>((</w:t>
      </w: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41.35.060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t>((</w:t>
      </w: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41.35.060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substitute teachers hired under RCW </w:t>
      </w:r>
      <w:r>
        <w:t>((</w:t>
      </w:r>
      <w:r>
        <w:rPr>
          <w:strike/>
        </w:rPr>
        <w:t xml:space="preserve">28A.410.252</w:t>
      </w:r>
      <w:r>
        <w:t>))</w:t>
      </w:r>
      <w:r>
        <w:rPr/>
        <w:t xml:space="preserve"> </w:t>
      </w:r>
      <w:r>
        <w:rPr>
          <w:u w:val="single"/>
        </w:rPr>
        <w:t xml:space="preserve">41.32.765(3)(c) and 41.32.875(3)(c)</w:t>
      </w:r>
      <w:r>
        <w:rPr/>
        <w:t xml:space="preserve"> per school year;</w:t>
      </w:r>
    </w:p>
    <w:p>
      <w:pPr>
        <w:spacing w:before="0" w:after="0" w:line="408" w:lineRule="exact"/>
        <w:ind w:left="0" w:right="0" w:firstLine="576"/>
        <w:jc w:val="left"/>
      </w:pPr>
      <w:r>
        <w:rPr/>
        <w:t xml:space="preserve">(c) The full daily compensation rate per substitute teacher; and</w:t>
      </w:r>
    </w:p>
    <w:p>
      <w:pPr>
        <w:spacing w:before="0" w:after="0" w:line="408" w:lineRule="exact"/>
        <w:ind w:left="0" w:right="0" w:firstLine="576"/>
        <w:jc w:val="left"/>
      </w:pPr>
      <w:r>
        <w:rPr/>
        <w:t xml:space="preserve">(d)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(Postretirement employment options) and 2016 c 233 s 7 are each repealed.</w:t>
      </w:r>
    </w:p>
    <w:p/>
    <w:p>
      <w:pPr>
        <w:jc w:val="center"/>
      </w:pPr>
      <w:r>
        <w:rPr>
          <w:b/>
        </w:rPr>
        <w:t>--- END ---</w:t>
      </w:r>
    </w:p>
    <w:sectPr>
      <w:pgNumType w:start="1"/>
      <w:footerReference xmlns:r="http://schemas.openxmlformats.org/officeDocument/2006/relationships" r:id="R0fe46203c6b6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36fd6a9bf44a0" /><Relationship Type="http://schemas.openxmlformats.org/officeDocument/2006/relationships/footer" Target="/word/footer1.xml" Id="R0fe46203c6b6435f" /></Relationships>
</file>