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50e80478b4c88" /></Relationships>
</file>

<file path=word/document.xml><?xml version="1.0" encoding="utf-8"?>
<w:document xmlns:w="http://schemas.openxmlformats.org/wordprocessingml/2006/main">
  <w:body>
    <w:p>
      <w:r>
        <w:t>S-1774.1</w:t>
      </w:r>
    </w:p>
    <w:p>
      <w:pPr>
        <w:jc w:val="center"/>
      </w:pPr>
      <w:r>
        <w:t>_______________________________________________</w:t>
      </w:r>
    </w:p>
    <w:p/>
    <w:p>
      <w:pPr>
        <w:jc w:val="center"/>
      </w:pPr>
      <w:r>
        <w:rPr>
          <w:b/>
        </w:rPr>
        <w:t>SUBSTITUTE SENATE BILL 5432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Dhingra, Rivers, Cleveland, Darneille, O'Ban, Keiser, Conway, Das, and Kuderer; by request of Office of the Governor)</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adding a new section to chapter 74.09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how to appropriately manage access to adult long-term inpatient involuntary care in the community and at eastern and western state hospitals, until such a time as the risk for long-term involuntary inpatient care may be fully integrated into managed care organization contracts, and provide advice to guide the integration process. The work group shall include representation from the department of social and health services, the department of health, behavioral health administrative services organizations, managed care organizations, the Washington state association of counties, and the Washington state hospital association.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Nothing in this chapter prevents a county or a group of counties within a regional service area from becoming a licensed or certified service provider under this chapter or chapter 71.05 RCW. Any county-administered service provider must be established within the local government in a manner that ensures: (a) That the service provider has a clear separation of powers and duties separate from the county-run behavioral health administrative services organization; and (b) that suitable accounting procedures are followed to ensure that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including co-occurring treatment from providers that offer fully integrated co-occurring treatment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true integration of behavioral health requires integration not just at the administrative level, but also at the level of service delivery.</w:t>
      </w:r>
    </w:p>
    <w:p>
      <w:pPr>
        <w:spacing w:before="0" w:after="0" w:line="408" w:lineRule="exact"/>
        <w:ind w:left="0" w:right="0" w:firstLine="576"/>
        <w:jc w:val="left"/>
      </w:pPr>
      <w:r>
        <w:rPr/>
        <w:t xml:space="preserve">(2) The authority must create a separate rate in the state's rate charts for dual diagnosis enhanced co-occurring treatment, effective January 1, 2020, that is higher than the rate for providing mental health treatment alone, in order to cover the additional costs associated with dually credentialed providers or dually licensed agencies that provide dual diagnosis enhanced co-occurring treatment. The restrictions which apply to the billing code associated with this rate must allow bidirectional integration so that qualified professionals can bill in all appropriate settings. The authority must disseminate this information in a manner calculated to maximally reach all relevant plans and providers. The authority must update the provider billing guide to maintain consistency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time-consuming to complete than initial documentation requirements in primary care settings.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dc0a9822c15c49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c956827c1497d" /><Relationship Type="http://schemas.openxmlformats.org/officeDocument/2006/relationships/footer" Target="/word/footer1.xml" Id="Rdc0a9822c15c4906" /></Relationships>
</file>