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e5c83815e418c" /></Relationships>
</file>

<file path=word/document.xml><?xml version="1.0" encoding="utf-8"?>
<w:document xmlns:w="http://schemas.openxmlformats.org/wordprocessingml/2006/main">
  <w:body>
    <w:p>
      <w:r>
        <w:t>S-1495.1</w:t>
      </w:r>
    </w:p>
    <w:p>
      <w:pPr>
        <w:jc w:val="center"/>
      </w:pPr>
      <w:r>
        <w:t>_______________________________________________</w:t>
      </w:r>
    </w:p>
    <w:p/>
    <w:p>
      <w:pPr>
        <w:jc w:val="center"/>
      </w:pPr>
      <w:r>
        <w:rPr>
          <w:b/>
        </w:rPr>
        <w:t>SUBSTITUTE SENATE BILL 5461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Cleveland, Darneille,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13.50.010 and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section 3 of this act.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w:t>
      </w:r>
      <w:r>
        <w:rPr>
          <w:u w:val="single"/>
        </w:rPr>
        <w:t xml:space="preserve">(a)</w:t>
      </w:r>
      <w:r>
        <w:rPr/>
        <w:t xml:space="preserve">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 that are involved with child sexual abuse victims,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u w:val="single"/>
        </w:rPr>
        <w:t xml:space="preserve">(b) County protocol for handling investigations of online sexual exploitation and commercial sexual exploitation of minors must be implemented by July 1, 2021.</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well-being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 as a member of the multidisciplinary child protection team.</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to the extent necessary to protect a child from abuse or neglect. This section is not intended to permit, direct, or compel team members to share information if sharing would constitute a violation of their professional ethical obligations or disclose privileged communications as described in RCW 5.60.060, or if sharing is otherwise impermissible under chapter 13.50 RCW or other applicable statutes.</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As convened by the county prosecutor, or his or her designee, a multidisciplinary child protection team should meet regularly, at least monthly, unless the needs and resources of each team dictate less frequent meetings.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 To the extent that the records communicated or provided are confidential under RCW 13.50.100, these records may only be further released as authorized by RCW 13.50.100 or other applicable law.</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whose action in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NumType w:start="1"/>
      <w:footerReference xmlns:r="http://schemas.openxmlformats.org/officeDocument/2006/relationships" r:id="R0044dd3b8b5a4a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ccdbce3e74515" /><Relationship Type="http://schemas.openxmlformats.org/officeDocument/2006/relationships/footer" Target="/word/footer1.xml" Id="R0044dd3b8b5a4ac2" /></Relationships>
</file>