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0ff10629849d5" /></Relationships>
</file>

<file path=word/document.xml><?xml version="1.0" encoding="utf-8"?>
<w:document xmlns:w="http://schemas.openxmlformats.org/wordprocessingml/2006/main">
  <w:body>
    <w:p>
      <w:r>
        <w:t>S-1473.3</w:t>
      </w:r>
    </w:p>
    <w:p>
      <w:pPr>
        <w:jc w:val="center"/>
      </w:pPr>
      <w:r>
        <w:t>_______________________________________________</w:t>
      </w:r>
    </w:p>
    <w:p/>
    <w:p>
      <w:pPr>
        <w:jc w:val="center"/>
      </w:pPr>
      <w:r>
        <w:rPr>
          <w:b/>
        </w:rPr>
        <w:t>SUBSTITUTE SENATE BILL 5522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 Takko)</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code cities with the ability to annex unincorporated areas pursuant to a jointly approved interlocal agreement with the county; adding a new section to chapter 35A.14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w:t>
      </w:r>
    </w:p>
    <w:p>
      <w:pPr>
        <w:spacing w:before="0" w:after="0" w:line="408" w:lineRule="exact"/>
        <w:ind w:left="0" w:right="0" w:firstLine="576"/>
        <w:jc w:val="left"/>
      </w:pPr>
      <w:r>
        <w:rPr/>
        <w:t xml:space="preserve">(2) The county legislative authority of a county and the governing body of a code city may jointly initiate an annexation process for unincorporated territory by adopting an interlocal agreement as provided in chapter 39.34 RCW and under this section between the county and code city within the county. If a code city is proposing to annex territory that will include areas in a special purpose district, the code city must notify the authority of the special purpose district and include the special purpose district as a party to the interlocal agreement. If the special purpose district does not approve the interlocal agreement, the annexation may not proceed under this section. The interlocal agreement must ensure that for a period of five years after the annexation for any parcel zoned for residential development within the annexed area:</w:t>
      </w:r>
    </w:p>
    <w:p>
      <w:pPr>
        <w:spacing w:before="0" w:after="0" w:line="408" w:lineRule="exact"/>
        <w:ind w:left="0" w:right="0" w:firstLine="576"/>
        <w:jc w:val="left"/>
      </w:pPr>
      <w:r>
        <w:rPr/>
        <w:t xml:space="preserve">(a) The parcel remains zoned for residential development; and</w:t>
      </w:r>
    </w:p>
    <w:p>
      <w:pPr>
        <w:spacing w:before="0" w:after="0" w:line="408" w:lineRule="exact"/>
        <w:ind w:left="0" w:right="0" w:firstLine="576"/>
        <w:jc w:val="left"/>
      </w:pPr>
      <w:r>
        <w:rPr/>
        <w:t xml:space="preserve">(b) The residential density of any parcel is not reduced below the density allowed for that parcel prior to annexation.</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 separately or jointly, publish a notice of availability of the agreement at least once a week for two weeks before the date of the hearing in one or more newspapers of general circulation within the code city and one or more newspapers of general circulation within the territory proposed for annexation. The notice shall describe where the public may review the agreement and the territory to be annexed.</w:t>
      </w:r>
    </w:p>
    <w:p>
      <w:pPr>
        <w:spacing w:before="0" w:after="0" w:line="408" w:lineRule="exact"/>
        <w:ind w:left="0" w:right="0" w:firstLine="576"/>
        <w:jc w:val="left"/>
      </w:pPr>
      <w:r>
        <w:rPr/>
        <w:t xml:space="preserve">(4) On the date set for hearing, the public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annexation of each phase.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
      <w:pPr>
        <w:jc w:val="center"/>
      </w:pPr>
      <w:r>
        <w:rPr>
          <w:b/>
        </w:rPr>
        <w:t>--- END ---</w:t>
      </w:r>
    </w:p>
    <w:sectPr>
      <w:pgNumType w:start="1"/>
      <w:footerReference xmlns:r="http://schemas.openxmlformats.org/officeDocument/2006/relationships" r:id="R79092b05e7ee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32e26bee84692" /><Relationship Type="http://schemas.openxmlformats.org/officeDocument/2006/relationships/footer" Target="/word/footer1.xml" Id="R79092b05e7ee4eac" /></Relationships>
</file>