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591bbd2f642bb" /></Relationships>
</file>

<file path=word/document.xml><?xml version="1.0" encoding="utf-8"?>
<w:document xmlns:w="http://schemas.openxmlformats.org/wordprocessingml/2006/main">
  <w:body>
    <w:p>
      <w:r>
        <w:t>S-0801.1</w:t>
      </w:r>
    </w:p>
    <w:p>
      <w:pPr>
        <w:jc w:val="center"/>
      </w:pPr>
      <w:r>
        <w:t>_______________________________________________</w:t>
      </w:r>
    </w:p>
    <w:p/>
    <w:p>
      <w:pPr>
        <w:jc w:val="center"/>
      </w:pPr>
      <w:r>
        <w:rPr>
          <w:b/>
        </w:rPr>
        <w:t>SENATE BILL 5524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Wilson, L.</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obligations; and amending RCW 36.70A.190 and 36.70A.050.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w:t>
      </w:r>
    </w:p>
    <w:p>
      <w:pPr>
        <w:spacing w:before="0" w:after="0" w:line="408" w:lineRule="exact"/>
        <w:ind w:left="0" w:right="0" w:firstLine="576"/>
        <w:jc w:val="left"/>
      </w:pPr>
      <w:r>
        <w:rPr>
          <w:u w:val="single"/>
        </w:rPr>
        <w:t xml:space="preserve">(i)</w:t>
      </w:r>
      <w:r>
        <w:rPr/>
        <w:t xml:space="preserve"> The technical assistance may include, but not be limited to, model land use ordinances, regional education and training programs, and information for local and regional inventories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Any technical assistance or guidance provided by the department or any other state agency must include a section analyzing the effects of implementation. Implementation of agency guidance must not result in any net loss of current or future built environment.</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and the department of ecology regarding critical areas. </w:t>
      </w:r>
      <w:r>
        <w:rPr>
          <w:u w:val="single"/>
        </w:rPr>
        <w:t xml:space="preserve">Guidelines developed in accordance with this section must include analyses of the effect of the guidelines on lands within the city or county and implementation of the guidelines must not result in a net loss of current or future built environment.</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
      <w:pPr>
        <w:jc w:val="center"/>
      </w:pPr>
      <w:r>
        <w:rPr>
          <w:b/>
        </w:rPr>
        <w:t>--- END ---</w:t>
      </w:r>
    </w:p>
    <w:sectPr>
      <w:pgNumType w:start="1"/>
      <w:footerReference xmlns:r="http://schemas.openxmlformats.org/officeDocument/2006/relationships" r:id="R9e5985f797d6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cbdbe26c34ae3" /><Relationship Type="http://schemas.openxmlformats.org/officeDocument/2006/relationships/footer" Target="/word/footer1.xml" Id="R9e5985f797d64c5c" /></Relationships>
</file>