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fdbb181674c61" /></Relationships>
</file>

<file path=word/document.xml><?xml version="1.0" encoding="utf-8"?>
<w:document xmlns:w="http://schemas.openxmlformats.org/wordprocessingml/2006/main">
  <w:body>
    <w:p>
      <w:r>
        <w:t>S-1023.1</w:t>
      </w:r>
    </w:p>
    <w:p>
      <w:pPr>
        <w:jc w:val="center"/>
      </w:pPr>
      <w:r>
        <w:t>_______________________________________________</w:t>
      </w:r>
    </w:p>
    <w:p/>
    <w:p>
      <w:pPr>
        <w:jc w:val="center"/>
      </w:pPr>
      <w:r>
        <w:rPr>
          <w:b/>
        </w:rPr>
        <w:t>SENATE BILL 5737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Conway, and Nguyen</w:t>
      </w:r>
    </w:p>
    <w:p/>
    <w:p>
      <w:r>
        <w:rPr>
          <w:t xml:space="preserve">Read first time 01/30/19.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adding a new section to chapter 72.01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w:t>
      </w:r>
      <w:r>
        <w:t>))</w:t>
      </w:r>
      <w:r>
        <w:rPr/>
        <w:t xml:space="preserve"> </w:t>
      </w:r>
      <w:r>
        <w:rPr>
          <w:u w:val="single"/>
        </w:rPr>
        <w:t xml:space="preserve">individual</w:t>
      </w:r>
      <w:r>
        <w:rPr/>
        <w:t xml:space="preserve"> under the age of eighteen is convicted as an adult in the courts of this state of a crime amounting to a felony, and is committed for a term of confinement, that </w:t>
      </w:r>
      <w:r>
        <w:t>((</w:t>
      </w:r>
      <w:r>
        <w:rPr>
          <w:strike/>
        </w:rPr>
        <w:t xml:space="preserve">child</w:t>
      </w:r>
      <w:r>
        <w:t>))</w:t>
      </w:r>
      <w:r>
        <w:rPr/>
        <w:t xml:space="preserve"> </w:t>
      </w:r>
      <w:r>
        <w:rPr>
          <w:u w:val="single"/>
        </w:rPr>
        <w:t xml:space="preserve">individual</w:t>
      </w:r>
      <w:r>
        <w:rPr/>
        <w:t xml:space="preserve"> shall be initially placed in a facility operated by the department of </w:t>
      </w:r>
      <w:r>
        <w:t>((</w:t>
      </w:r>
      <w:r>
        <w:rPr>
          <w:strike/>
        </w:rPr>
        <w:t xml:space="preserve">corrections</w:t>
      </w:r>
      <w:r>
        <w:t>))</w:t>
      </w:r>
      <w:r>
        <w:rPr/>
        <w:t xml:space="preserve"> </w:t>
      </w:r>
      <w:r>
        <w:rPr>
          <w:u w:val="single"/>
        </w:rPr>
        <w:t xml:space="preserve">children, youth, and families</w:t>
      </w:r>
      <w:r>
        <w:rPr/>
        <w:t xml:space="preserve"> to determine the </w:t>
      </w:r>
      <w:r>
        <w:t>((</w:t>
      </w:r>
      <w:r>
        <w:rPr>
          <w:strike/>
        </w:rPr>
        <w:t xml:space="preserve">child's</w:t>
      </w:r>
      <w:r>
        <w:t>))</w:t>
      </w:r>
      <w:r>
        <w:rPr/>
        <w:t xml:space="preserve"> </w:t>
      </w:r>
      <w:r>
        <w:rPr>
          <w:u w:val="single"/>
        </w:rPr>
        <w:t xml:space="preserve">individual's</w:t>
      </w:r>
      <w:r>
        <w:rPr/>
        <w:t xml:space="preserve"> earned release date</w:t>
      </w:r>
      <w:r>
        <w:rPr>
          <w:u w:val="single"/>
        </w:rPr>
        <w:t xml:space="preserve">, and the department of corrections shall determine the earned release date</w:t>
      </w:r>
      <w:r>
        <w:rPr/>
        <w:t xml:space="preserv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individual</w:t>
      </w:r>
      <w:r>
        <w:rPr/>
        <w:t xml:space="preserve"> to community custody until the department of corrections has approved the </w:t>
      </w:r>
      <w:r>
        <w:t>((</w:t>
      </w:r>
      <w:r>
        <w:rPr>
          <w:strike/>
        </w:rPr>
        <w:t xml:space="preserve">child's</w:t>
      </w:r>
      <w:r>
        <w:t>))</w:t>
      </w:r>
      <w:r>
        <w:rPr/>
        <w:t xml:space="preserve"> </w:t>
      </w:r>
      <w:r>
        <w:rPr>
          <w:u w:val="single"/>
        </w:rPr>
        <w:t xml:space="preserve">individual's</w:t>
      </w:r>
      <w:r>
        <w:rPr/>
        <w:t xml:space="preserve"> release plan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department of corrections shall, with the consent of the secretary of </w:t>
      </w:r>
      <w:r>
        <w:rPr>
          <w:u w:val="single"/>
        </w:rPr>
        <w:t xml:space="preserve">the department of</w:t>
      </w:r>
      <w:r>
        <w:rPr/>
        <w:t xml:space="preserve"> children, youth, and families, </w:t>
      </w:r>
      <w:r>
        <w:t>((</w:t>
      </w:r>
      <w:r>
        <w:rPr>
          <w:strike/>
        </w:rPr>
        <w:t xml:space="preserve">transfer</w:t>
      </w:r>
      <w:r>
        <w:t>))</w:t>
      </w:r>
      <w:r>
        <w:rPr/>
        <w:t xml:space="preserve"> </w:t>
      </w:r>
      <w:r>
        <w:rPr>
          <w:u w:val="single"/>
        </w:rPr>
        <w:t xml:space="preserve">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Despite the transfer, the department of corrections retains authority over custody decisions and must approve any leave from the facility.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turns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time the juvenile offender is age twenty-five years old,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Under subsection (2)(b) of this section, in which case commitment may not extend beyond age twenty-five;</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individual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individual in the custody of the department of corrections on the effective date of this section, who was under the age of eighteen at the time of the commission of the offense and who was convicted as an adult, and who has not yet reached the maximum age of juvenile offender commitment by a juvenile court for the same offense provided under RCW 13.40.300, is subject to the following provisions regarding placement:</w:t>
      </w:r>
    </w:p>
    <w:p>
      <w:pPr>
        <w:spacing w:before="0" w:after="0" w:line="408" w:lineRule="exact"/>
        <w:ind w:left="0" w:right="0" w:firstLine="576"/>
        <w:jc w:val="left"/>
      </w:pPr>
      <w:r>
        <w:rPr/>
        <w:t xml:space="preserve">(a) Any individual with an earned release date prior to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individual with an earned release date after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an individual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individuals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individual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individual, staff, and other individuals in the custody of the department of children, youth, and families;</w:t>
      </w:r>
    </w:p>
    <w:p>
      <w:pPr>
        <w:spacing w:before="0" w:after="0" w:line="408" w:lineRule="exact"/>
        <w:ind w:left="0" w:right="0" w:firstLine="576"/>
        <w:jc w:val="left"/>
      </w:pPr>
      <w:r>
        <w:rPr/>
        <w:t xml:space="preserve">(ii) The individual's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individual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and youth rehabilitation and submit a report, in compliance with RCW 43.01.036, to the governor and the appropriate committees of the legislature by December 1, 2024.</w:t>
      </w:r>
    </w:p>
    <w:p/>
    <w:p>
      <w:pPr>
        <w:jc w:val="center"/>
      </w:pPr>
      <w:r>
        <w:rPr>
          <w:b/>
        </w:rPr>
        <w:t>--- END ---</w:t>
      </w:r>
    </w:p>
    <w:sectPr>
      <w:pgNumType w:start="1"/>
      <w:footerReference xmlns:r="http://schemas.openxmlformats.org/officeDocument/2006/relationships" r:id="Ra094d2ebea8747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c5fd9fae9497f" /><Relationship Type="http://schemas.openxmlformats.org/officeDocument/2006/relationships/footer" Target="/word/footer1.xml" Id="Ra094d2ebea8747a0" /></Relationships>
</file>