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b8f9c7893476d" /></Relationships>
</file>

<file path=word/document.xml><?xml version="1.0" encoding="utf-8"?>
<w:document xmlns:w="http://schemas.openxmlformats.org/wordprocessingml/2006/main">
  <w:body>
    <w:p>
      <w:r>
        <w:t>S-1133.1</w:t>
      </w:r>
    </w:p>
    <w:p>
      <w:pPr>
        <w:jc w:val="center"/>
      </w:pPr>
      <w:r>
        <w:t>_______________________________________________</w:t>
      </w:r>
    </w:p>
    <w:p/>
    <w:p>
      <w:pPr>
        <w:jc w:val="center"/>
      </w:pPr>
      <w:r>
        <w:rPr>
          <w:b/>
        </w:rPr>
        <w:t>SENATE BILL 5739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and Wellman</w:t>
      </w:r>
    </w:p>
    <w:p/>
    <w:p>
      <w:r>
        <w:rPr>
          <w:t xml:space="preserve">Read first time 01/30/19.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affordable housing in unincorporated areas of rural counties within urban growth areas; amending RCW 84.14.060; and amending 2014 c 96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96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w:t>
      </w:r>
      <w:r>
        <w:t>((</w:t>
      </w:r>
      <w:r>
        <w:rPr>
          <w:strike/>
        </w:rPr>
        <w:t xml:space="preserve">RCW 84.14.040 and 84.14.060</w:t>
      </w:r>
      <w:r>
        <w:t>))</w:t>
      </w:r>
      <w:r>
        <w:rPr/>
        <w:t xml:space="preserve"> </w:t>
      </w:r>
      <w:r>
        <w:rPr>
          <w:u w:val="single"/>
        </w:rPr>
        <w:t xml:space="preserve">section 2, chapter . . ., Laws of 2019 (section 2 of this act) and sections 4 and 5, chapter 96, Laws of 2014</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stimulate the construction of new multifamily housing in urban growth areas located in unincorporated areas of rural counties where housing options, including affordable housing options, are severely limited. It is the legislature's intent to provide the value of new housing construction, conversion, and rehabilitation improvements qualifying under chapter 84.14 RCW an exemption from ad valorem property taxation for eight to twelve years, as provided for in RCW 84.14.020, in order to provide incentives to developers to construct new multifamily housing thereby increasing the number of affordable housing units for low to moderate-income residents in certain rural counties.</w:t>
      </w:r>
    </w:p>
    <w:p>
      <w:pPr>
        <w:spacing w:before="0" w:after="0" w:line="408" w:lineRule="exact"/>
        <w:ind w:left="0" w:right="0" w:firstLine="576"/>
        <w:jc w:val="left"/>
      </w:pPr>
      <w:r>
        <w:rPr/>
        <w:t xml:space="preserve">(3) If a review finds that at least twenty percent of the new housing is developed and occupied by households making at or below eighty percent of the area median income, at the time of occupancy, adjusted for family size for the county where the project is located or where the housing is intended exclusively for owner occupancy, the household may earn up to one hundred fifteen percent of the area median income, at the time of sale, adjusted for family size for the county where the project is located,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counties in which beneficiaries are utilizing the preference, the office of financial management, the department of commerce, the United States department of housing and urban development, and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 and</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rPr/>
        <w:t xml:space="preserve">(3) An application may not be approved for a residential targeted area in a rural county on or after January 1, </w:t>
      </w:r>
      <w:r>
        <w:t>((</w:t>
      </w:r>
      <w:r>
        <w:rPr>
          <w:strike/>
        </w:rPr>
        <w:t xml:space="preserve">2020</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9d5778a527e049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fb6e9aa0b4d53" /><Relationship Type="http://schemas.openxmlformats.org/officeDocument/2006/relationships/footer" Target="/word/footer1.xml" Id="R9d5778a527e049b9" /></Relationships>
</file>