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0c37a378745e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Nguyen, Fortunato, Das, Billig, and Hunt; by request of Washington State Patrol</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the stop lamp or other signal device, which may be red, amber, or yellow,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 </w:t>
      </w:r>
      <w:r>
        <w:rPr>
          <w:u w:val="single"/>
        </w:rPr>
        <w:t xml:space="preserve">However, for commercial motor vehicles defined in RCW 46.25.010, stop lamps must be red and other signal devices must be red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or amber light, or any shade of color between red and amber,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 </w:t>
      </w:r>
      <w:r>
        <w:rPr>
          <w:u w:val="single"/>
        </w:rPr>
        <w:t xml:space="preserve">However, for commercial motor vehicles defined in RCW 46.25.010, stop lamps must be red.</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NumType w:start="1"/>
      <w:footerReference xmlns:r="http://schemas.openxmlformats.org/officeDocument/2006/relationships" r:id="R1a078867afa8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de83121b3454f" /><Relationship Type="http://schemas.openxmlformats.org/officeDocument/2006/relationships/footer" Target="/word/footer1.xml" Id="R1a078867afa84add" /></Relationships>
</file>