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1f2baea014af8" /></Relationships>
</file>

<file path=word/document.xml><?xml version="1.0" encoding="utf-8"?>
<w:document xmlns:w="http://schemas.openxmlformats.org/wordprocessingml/2006/main">
  <w:body>
    <w:p>
      <w:r>
        <w:t>S-1840.1</w:t>
      </w:r>
    </w:p>
    <w:p>
      <w:pPr>
        <w:jc w:val="center"/>
      </w:pPr>
      <w:r>
        <w:t>_______________________________________________</w:t>
      </w:r>
    </w:p>
    <w:p/>
    <w:p>
      <w:pPr>
        <w:jc w:val="center"/>
      </w:pPr>
      <w:r>
        <w:rPr>
          <w:b/>
        </w:rPr>
        <w:t>SUBSTITUTE SENATE BILL 5951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Braun, Takko, Palumbo, Short, Salomon, Zeiger, Rivers, Becker, Lovelett, Honeyford, and Wilson, L.)</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to encourage residential and mixed-use development in urban infill areas; adding a new section to chapter 82.08 RCW; adding a new chapter to Title 84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certain urban communities have significant vacant land within city limits, which, for various reasons, has been passed over the normal course of urbanization. The legislature further finds that an increased emphasis on developing these passed-over parcels within developed areas, and on maximizing smart growth in areas that are already largely developed or have the potential to be transit-oriented and walkable, with convenient access to neighborhood schools, mixed-use and commercial development, and a range of employment and housing choices, provides a great public benefit to the citizens of Washington.</w:t>
      </w:r>
    </w:p>
    <w:p>
      <w:pPr>
        <w:spacing w:before="0" w:after="0" w:line="408" w:lineRule="exact"/>
        <w:ind w:left="0" w:right="0" w:firstLine="576"/>
        <w:jc w:val="left"/>
      </w:pPr>
      <w:r>
        <w:rPr/>
        <w:t xml:space="preserve">(2) Therefore, it is the intent of the legislature to establish a special property tax valuation incentive and sales tax incentive to encourage increased residential and mixed-use opportunities in the infill areas of urban centers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4 and 16, chapter . . . , Laws of 2019 (sections 4 and 16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property owners to develop residential and mixed-use properties for urban infill areas as provided in section 4 of this act. It is the legislature's intent to provide a property tax exemption and sales tax exemption that may be used to offset the costs of construction and rehabilitation for these types of properties.</w:t>
      </w:r>
    </w:p>
    <w:p>
      <w:pPr>
        <w:spacing w:before="0" w:after="0" w:line="408" w:lineRule="exact"/>
        <w:ind w:left="0" w:right="0" w:firstLine="576"/>
        <w:jc w:val="left"/>
      </w:pPr>
      <w:r>
        <w:rPr/>
        <w:t xml:space="preserve">(4) If the joint legislative audit and review committee finds that the property tax exemption and sales tax exemption has led to a significant increase in mixed-use and residential development in the urban infill areas of the state in the ten years following enactment of these tax preferences, then the legislature intends to extend the expiration dates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reports required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the sale or rental price of the dwelling unit is below the median sales or rental price of the urban area where the dwelling unit is located.</w:t>
      </w:r>
    </w:p>
    <w:p>
      <w:pPr>
        <w:spacing w:before="0" w:after="0" w:line="408" w:lineRule="exact"/>
        <w:ind w:left="0" w:right="0" w:firstLine="576"/>
        <w:jc w:val="left"/>
      </w:pPr>
      <w:r>
        <w:rPr/>
        <w:t xml:space="preserve">(2)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(3) "Infill development" means the development of vacant or under-used parcels within existing urban areas that are largely developed or have the potential to be developed.</w:t>
      </w:r>
    </w:p>
    <w:p>
      <w:pPr>
        <w:spacing w:before="0" w:after="0" w:line="408" w:lineRule="exact"/>
        <w:ind w:left="0" w:right="0" w:firstLine="576"/>
        <w:jc w:val="left"/>
      </w:pPr>
      <w:r>
        <w:rPr/>
        <w:t xml:space="preserve">(4) "Urban area" means urban growth area as defined in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w:t>
      </w:r>
      <w:r>
        <w:rPr>
          <w:rFonts w:ascii="Times New Roman" w:hAnsi="Times New Roman"/>
        </w:rPr>
        <w:t xml:space="preserve">—</w:t>
      </w:r>
      <w:r>
        <w:rPr/>
        <w:t xml:space="preserve">DURATION</w:t>
      </w:r>
      <w:r>
        <w:rPr>
          <w:rFonts w:ascii="Times New Roman" w:hAnsi="Times New Roman"/>
        </w:rPr>
        <w:t xml:space="preserve">—</w:t>
      </w:r>
      <w:r>
        <w:rPr/>
        <w:t xml:space="preserve">VALUATION.</w:t>
      </w:r>
      <w:r>
        <w:t xml:space="preserve">  </w:t>
      </w:r>
      <w:r>
        <w:rPr/>
        <w:t xml:space="preserve">(1)(a) The value of new construction, conversion, and rehabilitation improvements in infill development areas, as designated by the governing authority of a city or county, is exempt from ad valorem property taxation for eight years, as follows:</w:t>
      </w:r>
    </w:p>
    <w:p>
      <w:pPr>
        <w:spacing w:before="0" w:after="0" w:line="408" w:lineRule="exact"/>
        <w:ind w:left="0" w:right="0" w:firstLine="576"/>
        <w:jc w:val="left"/>
      </w:pPr>
      <w:r>
        <w:rPr/>
        <w:t xml:space="preserve">(i) For construction, conversion, or rehabilitation of multifamily residential properties:</w:t>
      </w:r>
    </w:p>
    <w:p>
      <w:pPr>
        <w:spacing w:before="0" w:after="0" w:line="408" w:lineRule="exact"/>
        <w:ind w:left="0" w:right="0" w:firstLine="576"/>
        <w:jc w:val="left"/>
      </w:pPr>
      <w:r>
        <w:rPr/>
        <w:t xml:space="preserve">(A) In urban areas with a population of one hundred thousand or more, one hundred percent of the value of new construction, conversion, or rehabilitation, if the construction, conversion, or rehabilitation of the property results in the property attaining an urban density of one hundred fifty affordable housing units or more per acre;</w:t>
      </w:r>
    </w:p>
    <w:p>
      <w:pPr>
        <w:spacing w:before="0" w:after="0" w:line="408" w:lineRule="exact"/>
        <w:ind w:left="0" w:right="0" w:firstLine="576"/>
        <w:jc w:val="left"/>
      </w:pPr>
      <w:r>
        <w:rPr/>
        <w:t xml:space="preserve">(B) In urban areas with a population less than one hundred thousand but greater than fifty thousand, one hundred percent of the value of new construction, conversion, or rehabilitation, if the construction, conversion, or rehabilitation of the property results in the property attaining an urban density of seventy-five affordable housing units or more per acre; and</w:t>
      </w:r>
    </w:p>
    <w:p>
      <w:pPr>
        <w:spacing w:before="0" w:after="0" w:line="408" w:lineRule="exact"/>
        <w:ind w:left="0" w:right="0" w:firstLine="576"/>
        <w:jc w:val="left"/>
      </w:pPr>
      <w:r>
        <w:rPr/>
        <w:t xml:space="preserve">(C) In urban areas with a population of fifty thousand or less, one hundred percent of the value of new construction, conversion, or rehabilitation, if the construction, conversion, or rehabilitation of the property results in the property attaining an urban density of thirty-five affordable housing units or more per acre; and</w:t>
      </w:r>
    </w:p>
    <w:p>
      <w:pPr>
        <w:spacing w:before="0" w:after="0" w:line="408" w:lineRule="exact"/>
        <w:ind w:left="0" w:right="0" w:firstLine="576"/>
        <w:jc w:val="left"/>
      </w:pPr>
      <w:r>
        <w:rPr/>
        <w:t xml:space="preserve">(ii) For construction, conversion, or rehabilitation of mixed-use properties, seventy-five percent of the value of new construction, conversion, or rehabilitation. Mixed-use properties must provide for a minimum of fifty percent of the space for affordable housing units.</w:t>
      </w:r>
    </w:p>
    <w:p>
      <w:pPr>
        <w:spacing w:before="0" w:after="0" w:line="408" w:lineRule="exact"/>
        <w:ind w:left="0" w:right="0" w:firstLine="576"/>
        <w:jc w:val="left"/>
      </w:pPr>
      <w:r>
        <w:rPr/>
        <w:t xml:space="preserve">(b) The exemptions provided in (a)(i) and (ii) of this subsection do not include the value of land or unrelated improvements not qualifying under this chapter.</w:t>
      </w:r>
    </w:p>
    <w:p>
      <w:pPr>
        <w:spacing w:before="0" w:after="0" w:line="408" w:lineRule="exact"/>
        <w:ind w:left="0" w:right="0" w:firstLine="576"/>
        <w:jc w:val="left"/>
      </w:pPr>
      <w:r>
        <w:rPr/>
        <w:t xml:space="preserve">(2)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(3) This chapter does not apply to increases in assessed valuation made by the assessor or nonqualifying portions of building and value of land nor to increases made by lawful order of a county board of equalization, the department of revenue, or a county, to a class of property throughout the county or specific area to achieve the uniformity of assessment or appraisal required by law.</w:t>
      </w:r>
    </w:p>
    <w:p>
      <w:pPr>
        <w:spacing w:before="0" w:after="0" w:line="408" w:lineRule="exact"/>
        <w:ind w:left="0" w:right="0" w:firstLine="576"/>
        <w:jc w:val="left"/>
      </w:pPr>
      <w:r>
        <w:rPr/>
        <w:t xml:space="preserve">(4) At the conclusion of the exemption period, the new or rehabilitated construction cost must be considered as new construction for the purposes of chapter 84.55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REQUIREMENTS.</w:t>
      </w:r>
      <w:r>
        <w:t xml:space="preserve">  </w:t>
      </w:r>
      <w:r>
        <w:rPr/>
        <w:t xml:space="preserve">An owner of property applying for the exemption under this chapter must meet the following requirements:</w:t>
      </w:r>
    </w:p>
    <w:p>
      <w:pPr>
        <w:spacing w:before="0" w:after="0" w:line="408" w:lineRule="exact"/>
        <w:ind w:left="0" w:right="0" w:firstLine="576"/>
        <w:jc w:val="left"/>
      </w:pPr>
      <w:r>
        <w:rPr/>
        <w:t xml:space="preserve">(1) The new or rehabilitated property must be located within an infill development area as identified by the governing authority;</w:t>
      </w:r>
    </w:p>
    <w:p>
      <w:pPr>
        <w:spacing w:before="0" w:after="0" w:line="408" w:lineRule="exact"/>
        <w:ind w:left="0" w:right="0" w:firstLine="576"/>
        <w:jc w:val="left"/>
      </w:pPr>
      <w:r>
        <w:rPr/>
        <w:t xml:space="preserve">(2) The property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and rehabilitation improvements must be completed within three years from the date of approval of the application;</w:t>
      </w:r>
    </w:p>
    <w:p>
      <w:pPr>
        <w:spacing w:before="0" w:after="0" w:line="408" w:lineRule="exact"/>
        <w:ind w:left="0" w:right="0" w:firstLine="576"/>
        <w:jc w:val="left"/>
      </w:pPr>
      <w:r>
        <w:rPr/>
        <w:t xml:space="preserve">(4) Property proposed to be rehabilitated must fail to comply with one or more standards of the applicable state or local building or housing codes.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(5)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INFILL DEVELOPMENT AREA.</w:t>
      </w:r>
      <w:r>
        <w:t xml:space="preserve">  </w:t>
      </w:r>
      <w:r>
        <w:rPr/>
        <w:t xml:space="preserve">(1) The infill development area must be within an existing developed area or an area with potential to be developed, as determined by the governing authority, and would benefit from additional mixed-use development or residential housing, including affordable housing, to meet the needs of the public who would be likely to live in the area.</w:t>
      </w:r>
    </w:p>
    <w:p>
      <w:pPr>
        <w:spacing w:before="0" w:after="0" w:line="408" w:lineRule="exact"/>
        <w:ind w:left="0" w:right="0" w:firstLine="576"/>
        <w:jc w:val="left"/>
      </w:pPr>
      <w:r>
        <w:rPr/>
        <w:t xml:space="preserve">(2) For the purpose of designating an infill development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infill development area is located. The notice must state the time, date, place, and purpose of the hearing and generally identify the area proposed to be designated as an infill development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an infill development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an infill development area, the governing authority must adopt and implement standards and guidelines to be utilized in considering applications and making the determinations required under section 8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infill development area in which they are to be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PROCEDURES.</w:t>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and housing codes;</w:t>
      </w:r>
    </w:p>
    <w:p>
      <w:pPr>
        <w:spacing w:before="0" w:after="0" w:line="408" w:lineRule="exact"/>
        <w:ind w:left="0" w:right="0" w:firstLine="576"/>
        <w:jc w:val="left"/>
      </w:pPr>
      <w:r>
        <w:rPr/>
        <w:t xml:space="preserve">(2) In the case of new and rehabilitated mixed-use development or multifamily housing,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must be accompanied by the application fee, if any, required under section 10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w:t>
      </w:r>
      <w:r>
        <w:rPr>
          <w:rFonts w:ascii="Times New Roman" w:hAnsi="Times New Roman"/>
        </w:rPr>
        <w:t xml:space="preserve">—</w:t>
      </w:r>
      <w:r>
        <w:rPr/>
        <w:t xml:space="preserve">REQUIRED FINDINGS.</w:t>
      </w:r>
      <w:r>
        <w:t xml:space="preserve">  </w:t>
      </w:r>
      <w:r>
        <w:rPr/>
        <w:t xml:space="preserve">The duly authorized administrative official or committee of the city or county may approve the application if it finds that:</w:t>
      </w:r>
    </w:p>
    <w:p>
      <w:pPr>
        <w:spacing w:before="0" w:after="0" w:line="408" w:lineRule="exact"/>
        <w:ind w:left="0" w:right="0" w:firstLine="576"/>
        <w:jc w:val="left"/>
      </w:pPr>
      <w:r>
        <w:rPr/>
        <w:t xml:space="preserve">(1) The proposed project meets the minimum requirements for the type of property development as provided in section 4 of this act;</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this chapter; and</w:t>
      </w:r>
    </w:p>
    <w:p>
      <w:pPr>
        <w:spacing w:before="0" w:after="0" w:line="408" w:lineRule="exact"/>
        <w:ind w:left="0" w:right="0" w:firstLine="576"/>
        <w:jc w:val="left"/>
      </w:pPr>
      <w:r>
        <w:rPr/>
        <w:t xml:space="preserve">(4) The site is located in an infill development area that has been designated by the governing authority in accordance with procedures and guidelines indicated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w:t>
      </w:r>
      <w:r>
        <w:rPr>
          <w:rFonts w:ascii="Times New Roman" w:hAnsi="Times New Roman"/>
        </w:rPr>
        <w:t xml:space="preserve">—</w:t>
      </w:r>
      <w:r>
        <w:rPr/>
        <w:t xml:space="preserve">APPROVAL</w:t>
      </w:r>
      <w:r>
        <w:rPr>
          <w:rFonts w:ascii="Times New Roman" w:hAnsi="Times New Roman"/>
        </w:rPr>
        <w:t xml:space="preserve">—</w:t>
      </w:r>
      <w:r>
        <w:rPr/>
        <w:t xml:space="preserve">DENIAL</w:t>
      </w:r>
      <w:r>
        <w:rPr>
          <w:rFonts w:ascii="Times New Roman" w:hAnsi="Times New Roman"/>
        </w:rPr>
        <w:t xml:space="preserve">—</w:t>
      </w:r>
      <w:r>
        <w:rPr/>
        <w:t xml:space="preserve">APPEAL.</w:t>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or county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8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Upon completion of rehabilitation or new construction for which an application for a limited tax exemption under this chapter has been approved,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the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specific development requirements in section 4 of this act;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specific development requirements in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the property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rPr>
          <w:rFonts w:ascii="Times New Roman" w:hAnsi="Times New Roman"/>
        </w:rPr>
        <w:t xml:space="preserve">—</w:t>
      </w:r>
      <w:r>
        <w:rPr/>
        <w:t xml:space="preserve">FILING.</w:t>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w:t>
      </w:r>
    </w:p>
    <w:p>
      <w:pPr>
        <w:spacing w:before="0" w:after="0" w:line="408" w:lineRule="exact"/>
        <w:ind w:left="0" w:right="0" w:firstLine="576"/>
        <w:jc w:val="left"/>
      </w:pPr>
      <w:r>
        <w:rPr/>
        <w:t xml:space="preserve">(2) All cities or counties, which issue certificates of tax exemption under this chapter, must report annually by December 31st of each year, beginning in 2020,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types of developments constructed or to be constructed;</w:t>
      </w:r>
    </w:p>
    <w:p>
      <w:pPr>
        <w:spacing w:before="0" w:after="0" w:line="408" w:lineRule="exact"/>
        <w:ind w:left="0" w:right="0" w:firstLine="576"/>
        <w:jc w:val="left"/>
      </w:pPr>
      <w:r>
        <w:rPr/>
        <w:t xml:space="preserve">(c) The actual development cost of each property;</w:t>
      </w:r>
    </w:p>
    <w:p>
      <w:pPr>
        <w:spacing w:before="0" w:after="0" w:line="408" w:lineRule="exact"/>
        <w:ind w:left="0" w:right="0" w:firstLine="576"/>
        <w:jc w:val="left"/>
      </w:pPr>
      <w:r>
        <w:rPr/>
        <w:t xml:space="preserve">(d) The total monthly rent or total sale amount of each unit produced;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CANCELLATION OF EXEMPTION.</w:t>
      </w:r>
      <w:r>
        <w:t xml:space="preserve">  </w:t>
      </w:r>
      <w:r>
        <w:rPr/>
        <w:t xml:space="preserve">(1) If improvements have been exempted under this chapter, the improvements continue to be exempted for the applicable period under section 4 of this act, so long as they are not converted to another use and continue to satisfy all applicable conditions. If the owner intends to convert the development to another use, or if applicable, if the owner intends to discontinue compliance with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a portion of the property is changed or will be changed to a use that no longer meets the requirements, as previously approved or agreed upon by contract between the city or county and the owner,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nonapproved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the property or portion of the property no longer meets applicable requirements,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conversion,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GROWTH MANAGEMENT HEARINGS BOARD AND STATE ENVIRONMENTAL POLICY ACT REVIEW.</w:t>
      </w:r>
      <w:r>
        <w:t xml:space="preserve">  </w:t>
      </w:r>
      <w:r>
        <w:rPr/>
        <w:t xml:space="preserve">(1) Any plans, development regulations, or amendments adopted by a city or county to implement this act are not subject to review under RCW 36.70A.280 until the next periodic update as required under RCW 36.70A.130.</w:t>
      </w:r>
    </w:p>
    <w:p>
      <w:pPr>
        <w:spacing w:before="0" w:after="0" w:line="408" w:lineRule="exact"/>
        <w:ind w:left="0" w:right="0" w:firstLine="576"/>
        <w:jc w:val="left"/>
      </w:pPr>
      <w:r>
        <w:rPr/>
        <w:t xml:space="preserve">(2) Any state environmental policy act decision, as referenced in chapter 43.21C RCW, that arises from subsection (1) of this section or qualified projects under section 8 of this act are not subject to appeal under RCW 43.21C.075.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tax levied by RCW 82.08.020 does not apply to sales to a developer or property owner for the cost of labor for qualifying projects under section 8 of this act.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(2) This section expires January 1, 2030.</w:t>
      </w:r>
    </w:p>
    <w:p/>
    <w:p>
      <w:pPr>
        <w:jc w:val="center"/>
      </w:pPr>
      <w:r>
        <w:rPr>
          <w:b/>
        </w:rPr>
        <w:t>--- END ---</w:t>
      </w:r>
    </w:p>
    <w:sectPr>
      <w:pgNumType w:start="1"/>
      <w:footerReference xmlns:r="http://schemas.openxmlformats.org/officeDocument/2006/relationships" r:id="Rce73ad96e18b4b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1b398ad53442f" /><Relationship Type="http://schemas.openxmlformats.org/officeDocument/2006/relationships/footer" Target="/word/footer1.xml" Id="Rce73ad96e18b4be8" /></Relationships>
</file>