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c94bf3f3c4326" /></Relationships>
</file>

<file path=word/document.xml><?xml version="1.0" encoding="utf-8"?>
<w:document xmlns:w="http://schemas.openxmlformats.org/wordprocessingml/2006/main">
  <w:body>
    <w:p>
      <w:r>
        <w:t>S-2035.2</w:t>
      </w:r>
    </w:p>
    <w:p>
      <w:pPr>
        <w:jc w:val="center"/>
      </w:pPr>
      <w:r>
        <w:t>_______________________________________________</w:t>
      </w:r>
    </w:p>
    <w:p/>
    <w:p>
      <w:pPr>
        <w:jc w:val="center"/>
      </w:pPr>
      <w:r>
        <w:rPr>
          <w:b/>
        </w:rPr>
        <w:t>SENATE BILL 5978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and Wagoner</w:t>
      </w:r>
    </w:p>
    <w:p/>
    <w:p>
      <w:r>
        <w:rPr>
          <w:t xml:space="preserve">Read first time 02/26/19.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taxation; amending RCW 82.08.020 and 82.12.020; adding a new section to chapter 82.08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Beginning July 1, 2019, except as provided in section 3 of this act, all the revenue collected under subsection (1) of this section on each new and used retail sale of a vehicle in this state, including private-party sales, but excluding retail car rentals taxed under subsection (2) of this section, must be deposited in the state general fund.</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2019, except as provided in section 3 of this act, all use tax revenue collected under subsection (1) of this section on the use of each new and used vehicle in this state, but excluding retail car rentals taxed under RCW 82.08.020, must be deposited in the state general fund.</w:t>
      </w:r>
    </w:p>
    <w:p>
      <w:pPr>
        <w:spacing w:before="0" w:after="0" w:line="408" w:lineRule="exact"/>
        <w:ind w:left="0" w:right="0" w:firstLine="576"/>
        <w:jc w:val="left"/>
      </w:pPr>
      <w:r>
        <w:rPr>
          <w:u w:val="single"/>
        </w:rPr>
        <w:t xml:space="preserve">(b) For purposes of this subsection (6),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tax imposed under RCW 82.08.020(4) and 82.12.020(6), the state treasurer shall make the following deposits:</w:t>
      </w:r>
    </w:p>
    <w:p>
      <w:pPr>
        <w:spacing w:before="0" w:after="0" w:line="408" w:lineRule="exact"/>
        <w:ind w:left="0" w:right="0" w:firstLine="576"/>
        <w:jc w:val="left"/>
      </w:pPr>
      <w:r>
        <w:rPr/>
        <w:t xml:space="preserve">(1) For the 2019-2021 biennium, three hundred million dollars in eight quarterly deposits to the motor vehicle fund created in RCW 46.68.070 to be used exclusively for the purposes specified in subsection (6) of this section.</w:t>
      </w:r>
    </w:p>
    <w:p>
      <w:pPr>
        <w:spacing w:before="0" w:after="0" w:line="408" w:lineRule="exact"/>
        <w:ind w:left="0" w:right="0" w:firstLine="576"/>
        <w:jc w:val="left"/>
      </w:pPr>
      <w:r>
        <w:rPr/>
        <w:t xml:space="preserve">(2) For the 2021-2023 biennium, four hundred million dollars in eight quarterly deposits to the motor vehicle fund created in RCW 46.68.070 to be used exclusively for the purposes specified in subsection (6) of this section.</w:t>
      </w:r>
    </w:p>
    <w:p>
      <w:pPr>
        <w:spacing w:before="0" w:after="0" w:line="408" w:lineRule="exact"/>
        <w:ind w:left="0" w:right="0" w:firstLine="576"/>
        <w:jc w:val="left"/>
      </w:pPr>
      <w:r>
        <w:rPr/>
        <w:t xml:space="preserve">(3) For the 2023-2025 biennium, five hundred million dollars in eight quarterly deposits to the motor vehicle fund created in RCW 46.68.070 to be used exclusively for the purposes specified in subsection (6) of this section.</w:t>
      </w:r>
    </w:p>
    <w:p>
      <w:pPr>
        <w:spacing w:before="0" w:after="0" w:line="408" w:lineRule="exact"/>
        <w:ind w:left="0" w:right="0" w:firstLine="576"/>
        <w:jc w:val="left"/>
      </w:pPr>
      <w:r>
        <w:rPr/>
        <w:t xml:space="preserve">(4) For the 2025-2027 biennium, five hundred million dollars in eight quarterly deposits to the motor vehicle fund created in RCW 46.68.070 to be used exclusively for the purposes specified in subsection (6) of this section.</w:t>
      </w:r>
    </w:p>
    <w:p>
      <w:pPr>
        <w:spacing w:before="0" w:after="0" w:line="408" w:lineRule="exact"/>
        <w:ind w:left="0" w:right="0" w:firstLine="576"/>
        <w:jc w:val="left"/>
      </w:pPr>
      <w:r>
        <w:rPr/>
        <w:t xml:space="preserve">(5) For the 2027-2029 biennium, five hundred million dollars in eight quarterly deposits to the motor vehicle fund created in RCW 46.68.070 to be used exclusively for the purposes specified in subsection (6) of this section.</w:t>
      </w:r>
    </w:p>
    <w:p>
      <w:pPr>
        <w:spacing w:before="0" w:after="0" w:line="408" w:lineRule="exact"/>
        <w:ind w:left="0" w:right="0" w:firstLine="576"/>
        <w:jc w:val="left"/>
      </w:pPr>
      <w:r>
        <w:rPr/>
        <w:t xml:space="preserve">(6) The amounts transferred under subsections (1) through (5) of this section are to be used solely for the following projects and activities:</w:t>
      </w:r>
    </w:p>
    <w:p>
      <w:pPr>
        <w:spacing w:before="0" w:after="0" w:line="408" w:lineRule="exact"/>
        <w:ind w:left="0" w:right="0" w:firstLine="576"/>
        <w:jc w:val="left"/>
      </w:pPr>
      <w:r>
        <w:rPr/>
        <w:t xml:space="preserve">(a) Highway maintenance and preservation;</w:t>
      </w:r>
    </w:p>
    <w:p>
      <w:pPr>
        <w:spacing w:before="0" w:after="0" w:line="408" w:lineRule="exact"/>
        <w:ind w:left="0" w:right="0" w:firstLine="576"/>
        <w:jc w:val="left"/>
      </w:pPr>
      <w:r>
        <w:rPr/>
        <w:t xml:space="preserve">(b) SR 18 Widening – Issaquah/Hobart Rd to Raging River;</w:t>
      </w:r>
    </w:p>
    <w:p>
      <w:pPr>
        <w:spacing w:before="0" w:after="0" w:line="408" w:lineRule="exact"/>
        <w:ind w:left="0" w:right="0" w:firstLine="576"/>
        <w:jc w:val="left"/>
      </w:pPr>
      <w:r>
        <w:rPr/>
        <w:t xml:space="preserve">(c) Columbia River Bridge Replacement/Hood River to White Salmon;</w:t>
      </w:r>
    </w:p>
    <w:p>
      <w:pPr>
        <w:spacing w:before="0" w:after="0" w:line="408" w:lineRule="exact"/>
        <w:ind w:left="0" w:right="0" w:firstLine="576"/>
        <w:jc w:val="left"/>
      </w:pPr>
      <w:r>
        <w:rPr/>
        <w:t xml:space="preserve">(d) US 2 Trestle Full Rebuild;</w:t>
      </w:r>
    </w:p>
    <w:p>
      <w:pPr>
        <w:spacing w:before="0" w:after="0" w:line="408" w:lineRule="exact"/>
        <w:ind w:left="0" w:right="0" w:firstLine="576"/>
        <w:jc w:val="left"/>
      </w:pPr>
      <w:r>
        <w:rPr/>
        <w:t xml:space="preserve">(e) Ferry vessels;</w:t>
      </w:r>
    </w:p>
    <w:p>
      <w:pPr>
        <w:spacing w:before="0" w:after="0" w:line="408" w:lineRule="exact"/>
        <w:ind w:left="0" w:right="0" w:firstLine="576"/>
        <w:jc w:val="left"/>
      </w:pPr>
      <w:r>
        <w:rPr/>
        <w:t xml:space="preserve">(f) US 12 Wallula to Nine Mile Hill Widening; and</w:t>
      </w:r>
    </w:p>
    <w:p>
      <w:pPr>
        <w:spacing w:before="0" w:after="0" w:line="408" w:lineRule="exact"/>
        <w:ind w:left="0" w:right="0" w:firstLine="576"/>
        <w:jc w:val="left"/>
      </w:pPr>
      <w:r>
        <w:rPr/>
        <w:t xml:space="preserve">(g) Watershed fish passage barrier removal.</w:t>
      </w:r>
    </w:p>
    <w:p>
      <w:pPr>
        <w:spacing w:before="0" w:after="0" w:line="408" w:lineRule="exact"/>
        <w:ind w:left="0" w:right="0" w:firstLine="576"/>
        <w:jc w:val="left"/>
      </w:pPr>
      <w:r>
        <w:rPr/>
        <w:t xml:space="preserve">(7) By December 1, 2028, the joint transportation committee shall conduct an evaluation of the impact of the transferred funds on the actual completion of the projects and activities specified in this section. The comparison shall include information on the net jobs created, other economic benefits achieved, the impacts on traffic congestion, and public safety. The evaluation shall compare these impacts relative to these outcomes without the additional transfers made pursuant to this section. If this evaluation finds that there is a significant net improvement in these outcomes directly from these transferred funds, then the legislature intends to extend these transfer provisions beyond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a2b6e29690341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db1082f85747f6" /><Relationship Type="http://schemas.openxmlformats.org/officeDocument/2006/relationships/footer" Target="/word/footer1.xml" Id="R3a2b6e296903411a" /></Relationships>
</file>