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72d2649ea84c7a" /></Relationships>
</file>

<file path=word/document.xml><?xml version="1.0" encoding="utf-8"?>
<w:document xmlns:w="http://schemas.openxmlformats.org/wordprocessingml/2006/main">
  <w:body>
    <w:p>
      <w:r>
        <w:t>Z-0688.1</w:t>
      </w:r>
    </w:p>
    <w:p>
      <w:pPr>
        <w:jc w:val="center"/>
      </w:pPr>
      <w:r>
        <w:t>_______________________________________________</w:t>
      </w:r>
    </w:p>
    <w:p/>
    <w:p>
      <w:pPr>
        <w:jc w:val="center"/>
      </w:pPr>
      <w:r>
        <w:rPr>
          <w:b/>
        </w:rPr>
        <w:t>SENATE BILL 6119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Holy, King, Keiser, Pedersen, Van De Wege, Wilson, L., and Saldaña; by request of Gambling Commission</w:t>
      </w:r>
    </w:p>
    <w:p/>
    <w:p>
      <w:r>
        <w:rPr>
          <w:t xml:space="preserve">Prefiled 12/27/19.</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that money laundering forfeited proceeds and property be used for improvement of gambling-related law enforcement activities; and amending RCW 9A.83.030.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83</w:t>
      </w:r>
      <w:r>
        <w:rPr/>
        <w:t xml:space="preserve">.</w:t>
      </w:r>
      <w:r>
        <w:t xml:space="preserve">030</w:t>
      </w:r>
      <w:r>
        <w:rPr/>
        <w:t xml:space="preserve"> and 2008 c 6 s 630 are each amended to read as follows:</w:t>
      </w:r>
    </w:p>
    <w:p>
      <w:pPr>
        <w:spacing w:before="0" w:after="0" w:line="408" w:lineRule="exact"/>
        <w:ind w:left="0" w:right="0" w:firstLine="576"/>
        <w:jc w:val="left"/>
      </w:pPr>
      <w:r>
        <w:rPr/>
        <w:t xml:space="preserve">(1) Proceeds traceable to or derived from specified unlawful activity or a violation of RCW 9A.83.020 are subject to seizure and forfeiture. The attorney general or county prosecuting attorney may file a civil action for the forfeiture of proceeds. Unless otherwise provided for under this section, no property rights exist in these proceeds. All right, title, and interest in the proceeds shall vest in the governmental entity of which the seizing law enforcement agency is a part upon commission of the act or omission giving rise to forfeiture under this section.</w:t>
      </w:r>
    </w:p>
    <w:p>
      <w:pPr>
        <w:spacing w:before="0" w:after="0" w:line="408" w:lineRule="exact"/>
        <w:ind w:left="0" w:right="0" w:firstLine="576"/>
        <w:jc w:val="left"/>
      </w:pPr>
      <w:r>
        <w:rPr/>
        <w:t xml:space="preserve">(2) Real or personal property subject to forfeiture under this chapter may be seized by any law enforcement officer of this state upon process issued by a superior court that has jurisdiction over the property. Any agency seizing real property shall file a lis pendens concerning the property. Real property seized under this section shall not be transferred or otherwise conveyed until ninety days after seizure or until a judgment of forfeiture is entered, whichever is later.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 issued pursuant to RCW 69.50.502;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(3) A seizure under subsection (2) of this section commences proceedings for forfeiture. The law enforcement agency under whose authority the seizure was made shall cause notice of the seizure and intended forfeiture of the seized proceeds to be served within fifteen days after the seizure on the owner of the property seized and the person in charge thereof and any person who has a known right or interest therein, including a community property interest.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in other cases may be served by any method authorized by law or court rule including but not limited to service by certified mail with return receipt requested. Service by mail is complete upon mailing within the fifteen-day period after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the property within forty-five days of the seizure in the case of personal property and ninety days in the case of real property, the property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 person notifies the seizing law enforcement agency in writing of the person's claim of ownership or right to possession of property within forty-five days of the seizure in the case of personal property and ninety days in the case of real property, the person or persons shall be afforded a reasonable opportunity to be heard as to the claim or right. The provisions of RCW 69.50.505(5) shall apply to any such hearing. The seizing law enforcement agency shall promptly return property to the claimant upon the direction of the administrative law judge or court.</w:t>
      </w:r>
    </w:p>
    <w:p>
      <w:pPr>
        <w:spacing w:before="0" w:after="0" w:line="408" w:lineRule="exact"/>
        <w:ind w:left="0" w:right="0" w:firstLine="576"/>
        <w:jc w:val="left"/>
      </w:pPr>
      <w:r>
        <w:rPr/>
        <w:t xml:space="preserve">(6) Disposition of forfeited property shall be made in the manner provided for in RCW 69.50.505 (8) through (10) and (14) </w:t>
      </w:r>
      <w:r>
        <w:rPr>
          <w:u w:val="single"/>
        </w:rPr>
        <w:t xml:space="preserve">or 9.46.231 (6) through (8) and (10)</w:t>
      </w:r>
      <w:r>
        <w:rPr/>
        <w:t xml:space="preserve">.</w:t>
      </w:r>
    </w:p>
    <w:p/>
    <w:p>
      <w:pPr>
        <w:jc w:val="center"/>
      </w:pPr>
      <w:r>
        <w:rPr>
          <w:b/>
        </w:rPr>
        <w:t>--- END ---</w:t>
      </w:r>
    </w:p>
    <w:sectPr>
      <w:pgNumType w:start="1"/>
      <w:footerReference xmlns:r="http://schemas.openxmlformats.org/officeDocument/2006/relationships" r:id="R03b6524a017042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61b8cc1a6d4573" /><Relationship Type="http://schemas.openxmlformats.org/officeDocument/2006/relationships/footer" Target="/word/footer1.xml" Id="R03b6524a0170427f" /></Relationships>
</file>