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e0f91831c142ef" /></Relationships>
</file>

<file path=word/document.xml><?xml version="1.0" encoding="utf-8"?>
<w:document xmlns:w="http://schemas.openxmlformats.org/wordprocessingml/2006/main">
  <w:body>
    <w:p>
      <w:r>
        <w:t>S-5128.1</w:t>
      </w:r>
    </w:p>
    <w:p>
      <w:pPr>
        <w:jc w:val="center"/>
      </w:pPr>
      <w:r>
        <w:t>_______________________________________________</w:t>
      </w:r>
    </w:p>
    <w:p/>
    <w:p>
      <w:pPr>
        <w:jc w:val="center"/>
      </w:pPr>
      <w:r>
        <w:rPr>
          <w:b/>
        </w:rPr>
        <w:t>SENATE BILL 6160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Das, and Nguyen</w:t>
      </w:r>
    </w:p>
    <w:p/>
    <w:p>
      <w:r>
        <w:rPr>
          <w:t xml:space="preserve">Prefiled 01/08/20.</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offender sentencing alternatives for offenders convicted of driving or control of a vehicle while under the influence; adding a new section to chapter 9.94A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46.61.502(6)(a), or 46.61.504(6)(a); and</w:t>
      </w:r>
    </w:p>
    <w:p>
      <w:pPr>
        <w:spacing w:before="0" w:after="0" w:line="408" w:lineRule="exact"/>
        <w:ind w:left="0" w:right="0" w:firstLine="576"/>
        <w:jc w:val="left"/>
      </w:pPr>
      <w:r>
        <w:rPr/>
        <w:t xml:space="preserve">(b) Is convicted of felony driving while under the influence of intoxicating liquor, marijuana,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twenty-six months or less. If an offender has a higher midpoint, a motion for a special drug offender sentencing alternative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consisting of a prison-based alternative under RCW 9.94A.662 if the low end of the standard sentence range is greater than twenty-four months; or</w:t>
      </w:r>
    </w:p>
    <w:p>
      <w:pPr>
        <w:spacing w:before="0" w:after="0" w:line="408" w:lineRule="exact"/>
        <w:ind w:left="0" w:right="0" w:firstLine="576"/>
        <w:jc w:val="left"/>
      </w:pPr>
      <w:r>
        <w:rPr/>
        <w:t xml:space="preserve">(b) Impose a sentence consisting of a residential treatment-based alternative consistent with this section.</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of health.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the substance use disorder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thirty days in a facility operated or utilized under contract by the county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certified by the department of health for a period set by the court up to six months with treatment completion and continued care delivered in accordance with the American society of addiction medicine criteria;</w:t>
      </w:r>
    </w:p>
    <w:p>
      <w:pPr>
        <w:spacing w:before="0" w:after="0" w:line="408" w:lineRule="exact"/>
        <w:ind w:left="0" w:right="0" w:firstLine="576"/>
        <w:jc w:val="left"/>
      </w:pPr>
      <w:r>
        <w:rPr/>
        <w:t xml:space="preserve">(c) Twenty-four months of partial confinement to consist of twelve months work release followed by twelve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 In addition, an offender may be required to pay thirty dollars per month while on community custody to offset the cost of monitoring for alcohol or controlled substances.</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(7)(a) If the court imposes a sentence under this section, the treatment provider must send the treatment plan to the court within thirty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time previously served in total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f33c8d8b268a4e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752bb17d44264" /><Relationship Type="http://schemas.openxmlformats.org/officeDocument/2006/relationships/footer" Target="/word/footer1.xml" Id="Rf33c8d8b268a4e6a" /></Relationships>
</file>