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c61701a744b6f" /></Relationships>
</file>

<file path=word/document.xml><?xml version="1.0" encoding="utf-8"?>
<w:document xmlns:w="http://schemas.openxmlformats.org/wordprocessingml/2006/main">
  <w:body>
    <w:p>
      <w:r>
        <w:t>S-5033.2</w:t>
      </w:r>
    </w:p>
    <w:p>
      <w:pPr>
        <w:jc w:val="center"/>
      </w:pPr>
      <w:r>
        <w:t>_______________________________________________</w:t>
      </w:r>
    </w:p>
    <w:p/>
    <w:p>
      <w:pPr>
        <w:jc w:val="center"/>
      </w:pPr>
      <w:r>
        <w:rPr>
          <w:b/>
        </w:rPr>
        <w:t>SENATE BILL 6163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Kuderer, Wellman, Pedersen, Darneille, Frockt, Rolfes, Stanford, and Wilson, C.</w:t>
      </w:r>
    </w:p>
    <w:p/>
    <w:p>
      <w:r>
        <w:rPr>
          <w:t xml:space="preserve">Prefiled 01/08/20.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possession of firearms for persons free on bond or personal recognizance pending trial, appeal, or sentencing for felony charges under RCW 46.61.502(6) and 46.61.504(6); and reenacting and amending RCW 9.41.040.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eighteen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 </w:t>
      </w:r>
      <w:r>
        <w:rPr>
          <w:u w:val="single"/>
        </w:rPr>
        <w:t xml:space="preserve">or for a felony charge under RCW 46.61.502(6) and 46.61.504(6)</w:t>
      </w:r>
      <w:r>
        <w:rPr/>
        <w:t xml:space="preserve">.</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
      <w:pPr>
        <w:jc w:val="center"/>
      </w:pPr>
      <w:r>
        <w:rPr>
          <w:b/>
        </w:rPr>
        <w:t>--- END ---</w:t>
      </w:r>
    </w:p>
    <w:sectPr>
      <w:pgNumType w:start="1"/>
      <w:footerReference xmlns:r="http://schemas.openxmlformats.org/officeDocument/2006/relationships" r:id="R6e37c8d47b6d4d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d1a2aee9224aaa" /><Relationship Type="http://schemas.openxmlformats.org/officeDocument/2006/relationships/footer" Target="/word/footer1.xml" Id="R6e37c8d47b6d4dea" /></Relationships>
</file>