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bae9a6b86c4553" /></Relationships>
</file>

<file path=word/document.xml><?xml version="1.0" encoding="utf-8"?>
<w:document xmlns:w="http://schemas.openxmlformats.org/wordprocessingml/2006/main">
  <w:body>
    <w:p>
      <w:r>
        <w:t>S-5188.2</w:t>
      </w:r>
    </w:p>
    <w:p>
      <w:pPr>
        <w:jc w:val="center"/>
      </w:pPr>
      <w:r>
        <w:t>_______________________________________________</w:t>
      </w:r>
    </w:p>
    <w:p/>
    <w:p>
      <w:pPr>
        <w:jc w:val="center"/>
      </w:pPr>
      <w:r>
        <w:rPr>
          <w:b/>
        </w:rPr>
        <w:t>SENATE BILL 6205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Conway, Randall, Keiser, Mullet, Frockt, Billig, Saldaña, Dhingra, Van De Wege, Hunt, Kuderer, Lovelett, Stanford, and Wilson, C.</w:t>
      </w:r>
    </w:p>
    <w:p/>
    <w:p>
      <w:r>
        <w:rPr>
          <w:t xml:space="preserve">Prefiled 01/10/20.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 </w:t>
      </w:r>
    </w:p>
    <w:p>
      <w:pPr>
        <w:spacing w:before="0" w:after="0" w:line="408" w:lineRule="exact"/>
        <w:ind w:left="0" w:right="0" w:firstLine="576"/>
        <w:jc w:val="left"/>
      </w:pPr>
      <w:r>
        <w:rPr/>
        <w:t xml:space="preserve">(2) Workplace violence, including verbal and physical aggression, as well as sexual harassment, is an occupational hazard for home care workers. Studies have found as many as sixty percent of home care workers have experienced verbal aggression and as many as thirty percent have experienced sexual harassment.</w:t>
      </w:r>
    </w:p>
    <w:p>
      <w:pPr>
        <w:spacing w:before="0" w:after="0" w:line="408" w:lineRule="exact"/>
        <w:ind w:left="0" w:right="0" w:firstLine="576"/>
        <w:jc w:val="left"/>
      </w:pPr>
      <w:r>
        <w:rPr/>
        <w:t xml:space="preserve">(3) Workplace violence can lead to negative health outcomes, including depression, flashbacks, sleeplessness, traumatic stress disorder, and poorer physical health, the effects of which can last for years. This can lead to increased turnover and lower quality of care.</w:t>
      </w:r>
    </w:p>
    <w:p>
      <w:pPr>
        <w:spacing w:before="0" w:after="0" w:line="408" w:lineRule="exact"/>
        <w:ind w:left="0" w:right="0" w:firstLine="576"/>
        <w:jc w:val="left"/>
      </w:pPr>
      <w:r>
        <w:rPr/>
        <w:t xml:space="preserve">(4) About twenty-five percent of people who receive in-home long-term supports and services in Washington live with behavioral health challenges. Cognitive decline and impairments and behavioral health challenges may sometimes manifest with individuals communicating their needs in ways that if an individual caring for this person is inadequately prepared, may be experienced as harassment, abusive, or violent.</w:t>
      </w:r>
    </w:p>
    <w:p>
      <w:pPr>
        <w:spacing w:before="0" w:after="0" w:line="408" w:lineRule="exact"/>
        <w:ind w:left="0" w:right="0" w:firstLine="576"/>
        <w:jc w:val="left"/>
      </w:pPr>
      <w:r>
        <w:rPr/>
        <w:t xml:space="preserve">(5) Adequate preparation of caregivers prior to caring for individuals with behavioral health needs helps both the caregiver and person receiving care. Caregivers should be equipped with existing tools like behavioral management plans and others that look at root causes of behaviors.</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sexual assault, or inappropriate sexual behavior.</w:t>
      </w:r>
    </w:p>
    <w:p>
      <w:pPr>
        <w:spacing w:before="0" w:after="0" w:line="408" w:lineRule="exact"/>
        <w:ind w:left="0" w:right="0" w:firstLine="576"/>
        <w:jc w:val="left"/>
      </w:pPr>
      <w:r>
        <w:rPr/>
        <w:t xml:space="preserve">(2)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(3) "Department" means the department of labor and industries. </w:t>
      </w:r>
    </w:p>
    <w:p>
      <w:pPr>
        <w:spacing w:before="0" w:after="0" w:line="408" w:lineRule="exact"/>
        <w:ind w:left="0" w:right="0" w:firstLine="576"/>
        <w:jc w:val="left"/>
      </w:pPr>
      <w:r>
        <w:rPr/>
        <w:t xml:space="preserve">(4)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(5) "Discriminatory harassment" is unwelcome conduct that is based on a protected class listed in RCW 49.60.030(1) where the conduct is severe or pervasive enough to create a work environment that a reasonable person would consider intimidating, hostile, or abusive. "Discriminatory harassment" includes sexual harassment.</w:t>
      </w:r>
    </w:p>
    <w:p>
      <w:pPr>
        <w:spacing w:before="0" w:after="0" w:line="408" w:lineRule="exact"/>
        <w:ind w:left="0" w:right="0" w:firstLine="576"/>
        <w:jc w:val="left"/>
      </w:pPr>
      <w:r>
        <w:rPr/>
        <w:t xml:space="preserve">(6)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w:t>
      </w:r>
    </w:p>
    <w:p>
      <w:pPr>
        <w:spacing w:before="0" w:after="0" w:line="408" w:lineRule="exact"/>
        <w:ind w:left="0" w:right="0" w:firstLine="576"/>
        <w:jc w:val="left"/>
      </w:pPr>
      <w:r>
        <w:rPr/>
        <w:t xml:space="preserve">(7)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(8) "Sexual assault" means any type of sexual contact or behavior that occurs without the explicit consent of the recipient.</w:t>
      </w:r>
    </w:p>
    <w:p>
      <w:pPr>
        <w:spacing w:before="0" w:after="0" w:line="408" w:lineRule="exact"/>
        <w:ind w:left="0" w:right="0" w:firstLine="576"/>
        <w:jc w:val="left"/>
      </w:pPr>
      <w:r>
        <w:rPr/>
        <w:t xml:space="preserve">(9) "Sexual contact" has the same meaning as in RCW 9A.44.010.</w:t>
      </w:r>
    </w:p>
    <w:p>
      <w:pPr>
        <w:spacing w:before="0" w:after="0" w:line="408" w:lineRule="exact"/>
        <w:ind w:left="0" w:right="0" w:firstLine="576"/>
        <w:jc w:val="left"/>
      </w:pPr>
      <w:r>
        <w:rPr/>
        <w:t xml:space="preserve">(10) "Sexual harassment" has the same meaning as in RCW 28A.640.020.</w:t>
      </w:r>
    </w:p>
    <w:p>
      <w:pPr>
        <w:spacing w:before="0" w:after="0" w:line="408" w:lineRule="exact"/>
        <w:ind w:left="0" w:right="0" w:firstLine="576"/>
        <w:jc w:val="left"/>
      </w:pPr>
      <w:r>
        <w:rPr/>
        <w:t xml:space="preserve">(11) "Workplace aggression" means acts of nonphysical hostility or threats of violence in the work setting, such as cornering an individual or slamming a door. "Workplace aggression" includes verbal aggression such as yelling, insulting, or belittling an individual.</w:t>
      </w:r>
    </w:p>
    <w:p>
      <w:pPr>
        <w:spacing w:before="0" w:after="0" w:line="408" w:lineRule="exact"/>
        <w:ind w:left="0" w:right="0" w:firstLine="576"/>
        <w:jc w:val="left"/>
      </w:pPr>
      <w:r>
        <w:rPr/>
        <w:t xml:space="preserve">(12) "Workplace violence," "violence," or "violent act" means the occurrence of physical assault or physically threatening behavior in a work setting, such as hitting, kicking, biting, or bumping with intentional force. "Workplace violence," "violence," and "violent act" includes physical assault or verbal threat of physical assault involving the use of a weapon or a common object used as a weapon, regardless of whether the use of a weapon resulted in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each covered employer must adopt and maintain a comprehensive written policy concerning how the covered employer shall address instances of discrimination and abusive conduct.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if applicable. The covered employer must also send a copy of the comprehensive written policy to each of its employees electronically; </w:t>
      </w:r>
    </w:p>
    <w:p>
      <w:pPr>
        <w:spacing w:before="0" w:after="0" w:line="408" w:lineRule="exact"/>
        <w:ind w:left="0" w:right="0" w:firstLine="576"/>
        <w:jc w:val="left"/>
      </w:pPr>
      <w:r>
        <w:rPr/>
        <w:t xml:space="preserve">(c) Make the policy available in plain English and in each of the three languages spoken most by its employees;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are properly trained on such policies.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and abusive conduct in employment;</w:t>
      </w:r>
    </w:p>
    <w:p>
      <w:pPr>
        <w:spacing w:before="0" w:after="0" w:line="408" w:lineRule="exact"/>
        <w:ind w:left="0" w:right="0" w:firstLine="576"/>
        <w:jc w:val="left"/>
      </w:pPr>
      <w:r>
        <w:rPr/>
        <w:t xml:space="preserve">(b) A description of the types of behaviors prohibited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and abusive conduct; </w:t>
      </w:r>
    </w:p>
    <w:p>
      <w:pPr>
        <w:spacing w:before="0" w:after="0" w:line="408" w:lineRule="exact"/>
        <w:ind w:left="0" w:right="0" w:firstLine="576"/>
        <w:jc w:val="left"/>
      </w:pPr>
      <w:r>
        <w:rPr/>
        <w:t xml:space="preserve">(d) A description of multiple methods for reporting discrimination and abusive conduct;</w:t>
      </w:r>
    </w:p>
    <w:p>
      <w:pPr>
        <w:spacing w:before="0" w:after="0" w:line="408" w:lineRule="exact"/>
        <w:ind w:left="0" w:right="0" w:firstLine="576"/>
        <w:jc w:val="left"/>
      </w:pPr>
      <w:r>
        <w:rPr/>
        <w:t xml:space="preserve">(e)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client decisionmakers as soon as possible; </w:t>
      </w:r>
    </w:p>
    <w:p>
      <w:pPr>
        <w:spacing w:before="0" w:after="0" w:line="408" w:lineRule="exact"/>
        <w:ind w:left="0" w:right="0" w:firstLine="576"/>
        <w:jc w:val="left"/>
      </w:pPr>
      <w:r>
        <w:rPr/>
        <w:t xml:space="preserve">(f) A stated prohibition against retaliation for actions related to disclosing, reporting, testifying, assisting in an investigation, or challenging discrimination or abusive conduct and a description of how the employer will protect employees against retaliatory behavior; </w:t>
      </w:r>
    </w:p>
    <w:p>
      <w:pPr>
        <w:spacing w:before="0" w:after="0" w:line="408" w:lineRule="exact"/>
        <w:ind w:left="0" w:right="0" w:firstLine="576"/>
        <w:jc w:val="left"/>
      </w:pPr>
      <w:r>
        <w:rPr/>
        <w:t xml:space="preserve">(g) A list of resources for long-term care workers to utilize. At a minimum, the resources must include contact information of the equal employment opportunity commission, the Washington state human rights commission, and local advocacy groups focused on preventing harassment and discrimination; and</w:t>
      </w:r>
    </w:p>
    <w:p>
      <w:pPr>
        <w:spacing w:before="0" w:after="0" w:line="408" w:lineRule="exact"/>
        <w:ind w:left="0" w:right="0" w:firstLine="576"/>
        <w:jc w:val="left"/>
      </w:pPr>
      <w:r>
        <w:rPr/>
        <w:t xml:space="preserve">(h) Any additional components recommended by the work group established in section 7 of this act for the purpose of preventing discrimination and abusive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and every three years thereafter, each covered employer shall implement a plan to prevent and protect employees from violence. The plan shall be developed and monitored by a workplace violence committee. The members of the workplace violence committee shall consist of individuals that are employee-elected, employer-selected, and include at least one client representative. The number of employee-elected members shall equal or exceed the number of employer-selected members. </w:t>
      </w:r>
    </w:p>
    <w:p>
      <w:pPr>
        <w:spacing w:before="0" w:after="0" w:line="408" w:lineRule="exact"/>
        <w:ind w:left="0" w:right="0" w:firstLine="576"/>
        <w:jc w:val="left"/>
      </w:pPr>
      <w:r>
        <w:rPr/>
        <w:t xml:space="preserve">(2) The plan developed under subsection (1) of this section must outline strategies to address security considerations and factors that contribute to, or prevent, violence and abusive conduct, and may include:</w:t>
      </w:r>
    </w:p>
    <w:p>
      <w:pPr>
        <w:spacing w:before="0" w:after="0" w:line="408" w:lineRule="exact"/>
        <w:ind w:left="0" w:right="0" w:firstLine="576"/>
        <w:jc w:val="left"/>
      </w:pPr>
      <w:r>
        <w:rPr/>
        <w:t xml:space="preserve">(a) Emergency response processes and procedures, including information on providing first aid and available security personnel;</w:t>
      </w:r>
    </w:p>
    <w:p>
      <w:pPr>
        <w:spacing w:before="0" w:after="0" w:line="408" w:lineRule="exact"/>
        <w:ind w:left="0" w:right="0" w:firstLine="576"/>
        <w:jc w:val="left"/>
      </w:pPr>
      <w:r>
        <w:rPr/>
        <w:t xml:space="preserve">(b) Processes for reporting violent acts and abusive conduct;</w:t>
      </w:r>
    </w:p>
    <w:p>
      <w:pPr>
        <w:spacing w:before="0" w:after="0" w:line="408" w:lineRule="exact"/>
        <w:ind w:left="0" w:right="0" w:firstLine="576"/>
        <w:jc w:val="left"/>
      </w:pPr>
      <w:r>
        <w:rPr/>
        <w:t xml:space="preserve">(c) Processes for identifying and responding to the root cause of a client's conduct when an employee has reason to believe that the conduct is due to a client's condition;</w:t>
      </w:r>
    </w:p>
    <w:p>
      <w:pPr>
        <w:spacing w:before="0" w:after="0" w:line="408" w:lineRule="exact"/>
        <w:ind w:left="0" w:right="0" w:firstLine="576"/>
        <w:jc w:val="left"/>
      </w:pPr>
      <w:r>
        <w:rPr/>
        <w:t xml:space="preserve">(d) The development of employee education and training requirements related to the prevention of, and response to, violent and abusive conduct, including de-escalation procedures and information on identifying environmental risk factors. The employee education and training requirements must be based on the recommendations of the work group established in section 7 of this act; and</w:t>
      </w:r>
    </w:p>
    <w:p>
      <w:pPr>
        <w:spacing w:before="0" w:after="0" w:line="408" w:lineRule="exact"/>
        <w:ind w:left="0" w:right="0" w:firstLine="576"/>
        <w:jc w:val="left"/>
      </w:pPr>
      <w:r>
        <w:rPr/>
        <w:t xml:space="preserve">(e) The development of processes for intervening and providing assistance to an employee directly affected by a violent act.</w:t>
      </w:r>
    </w:p>
    <w:p>
      <w:pPr>
        <w:spacing w:before="0" w:after="0" w:line="408" w:lineRule="exact"/>
        <w:ind w:left="0" w:right="0" w:firstLine="576"/>
        <w:jc w:val="left"/>
      </w:pPr>
      <w:r>
        <w:rPr/>
        <w:t xml:space="preserve">(3) Each covered employer and workplace violence committee must annually review the frequency of incidents of workplace violence and abusive conduct in the home care setting, including identification of the causes for, and consequences of, violent acts and any emerging issues that contribute to violence and abusive conduct.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must inform an employee of instances of known discrimination and abusive conduct occurring in or around the client's home prior to assigning the employee to that client and throughout the duration of service.</w:t>
      </w:r>
    </w:p>
    <w:p>
      <w:pPr>
        <w:spacing w:before="0" w:after="0" w:line="408" w:lineRule="exact"/>
        <w:ind w:left="0" w:right="0" w:firstLine="576"/>
        <w:jc w:val="left"/>
      </w:pPr>
      <w:r>
        <w:rPr/>
        <w:t xml:space="preserve">(2) Covered employers must inform an employee if the employer has reason to believe that discriminatory or abusive conduct may occur in or around the client's home, prior to assigning the employee to that client and throughout the duration of service. </w:t>
      </w:r>
    </w:p>
    <w:p>
      <w:pPr>
        <w:spacing w:before="0" w:after="0" w:line="408" w:lineRule="exact"/>
        <w:ind w:left="0" w:right="0" w:firstLine="576"/>
        <w:jc w:val="left"/>
      </w:pPr>
      <w:r>
        <w:rPr/>
        <w:t xml:space="preserve">(3) Communication of the information in subsections (1) and (2) of this section must be tailored to respect the privacy of clients in accordance with the federal health insurance portability and accountability act of 1996.</w:t>
      </w:r>
    </w:p>
    <w:p>
      <w:pPr>
        <w:spacing w:before="0" w:after="0" w:line="408" w:lineRule="exact"/>
        <w:ind w:left="0" w:right="0" w:firstLine="576"/>
        <w:jc w:val="left"/>
      </w:pPr>
      <w:r>
        <w:rPr/>
        <w:t xml:space="preserve">(4) A covered employer may not terminate an employee, reduce the pay of an employee, or not offer future assignments to an employee for requesting reassignment due to alleged discrimination or abusive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upon request. </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 </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client;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 </w:t>
      </w:r>
    </w:p>
    <w:p>
      <w:pPr>
        <w:spacing w:before="0" w:after="0" w:line="408" w:lineRule="exact"/>
        <w:ind w:left="0" w:right="0" w:firstLine="576"/>
        <w:jc w:val="left"/>
      </w:pPr>
      <w:r>
        <w:rPr/>
        <w:t xml:space="preserve">(f) A description of the type of act as:</w:t>
      </w:r>
    </w:p>
    <w:p>
      <w:pPr>
        <w:spacing w:before="0" w:after="0" w:line="408" w:lineRule="exact"/>
        <w:ind w:left="0" w:right="0" w:firstLine="576"/>
        <w:jc w:val="left"/>
      </w:pPr>
      <w:r>
        <w:rPr/>
        <w:t xml:space="preserve">(i) Discrimination, including harassment and sexual harassment;</w:t>
      </w:r>
    </w:p>
    <w:p>
      <w:pPr>
        <w:spacing w:before="0" w:after="0" w:line="408" w:lineRule="exact"/>
        <w:ind w:left="0" w:right="0" w:firstLine="576"/>
        <w:jc w:val="left"/>
      </w:pPr>
      <w:r>
        <w:rPr/>
        <w:t xml:space="preserve">(ii) Verbal aggression;</w:t>
      </w:r>
    </w:p>
    <w:p>
      <w:pPr>
        <w:spacing w:before="0" w:after="0" w:line="408" w:lineRule="exact"/>
        <w:ind w:left="0" w:right="0" w:firstLine="576"/>
        <w:jc w:val="left"/>
      </w:pPr>
      <w:r>
        <w:rPr/>
        <w:t xml:space="preserve">(iii) Physical aggression without assault;</w:t>
      </w:r>
    </w:p>
    <w:p>
      <w:pPr>
        <w:spacing w:before="0" w:after="0" w:line="408" w:lineRule="exact"/>
        <w:ind w:left="0" w:right="0" w:firstLine="576"/>
        <w:jc w:val="left"/>
      </w:pPr>
      <w:r>
        <w:rPr/>
        <w:t xml:space="preserve">(iv) Physical assault; or</w:t>
      </w:r>
    </w:p>
    <w:p>
      <w:pPr>
        <w:spacing w:before="0" w:after="0" w:line="408" w:lineRule="exact"/>
        <w:ind w:left="0" w:right="0" w:firstLine="576"/>
        <w:jc w:val="left"/>
      </w:pPr>
      <w:r>
        <w:rPr/>
        <w:t xml:space="preserve">(v) Sexual assault;</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 </w:t>
      </w:r>
    </w:p>
    <w:p>
      <w:pPr>
        <w:spacing w:before="0" w:after="0" w:line="408" w:lineRule="exact"/>
        <w:ind w:left="0" w:right="0" w:firstLine="576"/>
        <w:jc w:val="left"/>
      </w:pPr>
      <w:r>
        <w:rPr/>
        <w:t xml:space="preserve">(3) Covered employers are required to submit the following aggregate data to the department annually and the department must make the data available to the public upon request:</w:t>
      </w:r>
    </w:p>
    <w:p>
      <w:pPr>
        <w:spacing w:before="0" w:after="0" w:line="408" w:lineRule="exact"/>
        <w:ind w:left="0" w:right="0" w:firstLine="576"/>
        <w:jc w:val="left"/>
      </w:pPr>
      <w:r>
        <w:rPr/>
        <w:t xml:space="preserve">(a) The number of reported incidents of discrimination and abusive conduct by category and type;</w:t>
      </w:r>
    </w:p>
    <w:p>
      <w:pPr>
        <w:spacing w:before="0" w:after="0" w:line="408" w:lineRule="exact"/>
        <w:ind w:left="0" w:right="0" w:firstLine="576"/>
        <w:jc w:val="left"/>
      </w:pPr>
      <w:r>
        <w:rPr/>
        <w:t xml:space="preserve">(b) The number of investigations related to discrimination and abusive conduct initiated; </w:t>
      </w:r>
    </w:p>
    <w:p>
      <w:pPr>
        <w:spacing w:before="0" w:after="0" w:line="408" w:lineRule="exact"/>
        <w:ind w:left="0" w:right="0" w:firstLine="576"/>
        <w:jc w:val="left"/>
      </w:pPr>
      <w:r>
        <w:rPr/>
        <w:t xml:space="preserve">(c) The number of concluded investigations that were initiated in (b) of this subsection; </w:t>
      </w:r>
    </w:p>
    <w:p>
      <w:pPr>
        <w:spacing w:before="0" w:after="0" w:line="408" w:lineRule="exact"/>
        <w:ind w:left="0" w:right="0" w:firstLine="576"/>
        <w:jc w:val="left"/>
      </w:pPr>
      <w:r>
        <w:rPr/>
        <w:t xml:space="preserve">(d) The resolution of complaints by type of resolution;</w:t>
      </w:r>
    </w:p>
    <w:p>
      <w:pPr>
        <w:spacing w:before="0" w:after="0" w:line="408" w:lineRule="exact"/>
        <w:ind w:left="0" w:right="0" w:firstLine="576"/>
        <w:jc w:val="left"/>
      </w:pPr>
      <w:r>
        <w:rPr/>
        <w:t xml:space="preserve">(e) The date the policy required by section 3 of this act was most recently updated; </w:t>
      </w:r>
    </w:p>
    <w:p>
      <w:pPr>
        <w:spacing w:before="0" w:after="0" w:line="408" w:lineRule="exact"/>
        <w:ind w:left="0" w:right="0" w:firstLine="576"/>
        <w:jc w:val="left"/>
      </w:pPr>
      <w:r>
        <w:rPr/>
        <w:t xml:space="preserve">(f) The date the prevention plan required by section 4 of this act was most recently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convene a stakeholder work group to recommend best practices for training employers, long-term care workers, and clients to keep home care settings free from discrimination and abusive conduct while maintaining the ability for individuals who need services to access needed services or while maintaining the ability to provide services. </w:t>
      </w:r>
    </w:p>
    <w:p>
      <w:pPr>
        <w:spacing w:before="0" w:after="0" w:line="408" w:lineRule="exact"/>
        <w:ind w:left="0" w:right="0" w:firstLine="576"/>
        <w:jc w:val="left"/>
      </w:pPr>
      <w:r>
        <w:rPr/>
        <w:t xml:space="preserve">(2) To the extent practicable, the following groups should be represented in the work group, each group may have up to two representatives:</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w:t>
      </w:r>
    </w:p>
    <w:p>
      <w:pPr>
        <w:spacing w:before="0" w:after="0" w:line="408" w:lineRule="exact"/>
        <w:ind w:left="0" w:right="0" w:firstLine="576"/>
        <w:jc w:val="left"/>
      </w:pPr>
      <w:r>
        <w:rPr/>
        <w:t xml:space="preserve">(c) The Washington state human rights commission; </w:t>
      </w:r>
    </w:p>
    <w:p>
      <w:pPr>
        <w:spacing w:before="0" w:after="0" w:line="408" w:lineRule="exact"/>
        <w:ind w:left="0" w:right="0" w:firstLine="576"/>
        <w:jc w:val="left"/>
      </w:pPr>
      <w:r>
        <w:rPr/>
        <w:t xml:space="preserve">(d) Covered employers;</w:t>
      </w:r>
    </w:p>
    <w:p>
      <w:pPr>
        <w:spacing w:before="0" w:after="0" w:line="408" w:lineRule="exact"/>
        <w:ind w:left="0" w:right="0" w:firstLine="576"/>
        <w:jc w:val="left"/>
      </w:pPr>
      <w:r>
        <w:rPr/>
        <w:t xml:space="preserve">(e) Labor organizations representing long-term care workers;</w:t>
      </w:r>
    </w:p>
    <w:p>
      <w:pPr>
        <w:spacing w:before="0" w:after="0" w:line="408" w:lineRule="exact"/>
        <w:ind w:left="0" w:right="0" w:firstLine="576"/>
        <w:jc w:val="left"/>
      </w:pPr>
      <w:r>
        <w:rPr/>
        <w:t xml:space="preserve">(f) Organizations with experience training long-term care workers;</w:t>
      </w:r>
    </w:p>
    <w:p>
      <w:pPr>
        <w:spacing w:before="0" w:after="0" w:line="408" w:lineRule="exact"/>
        <w:ind w:left="0" w:right="0" w:firstLine="576"/>
        <w:jc w:val="left"/>
      </w:pPr>
      <w:r>
        <w:rPr/>
        <w:t xml:space="preserve">(g) The self-advocacy community; and</w:t>
      </w:r>
    </w:p>
    <w:p>
      <w:pPr>
        <w:spacing w:before="0" w:after="0" w:line="408" w:lineRule="exact"/>
        <w:ind w:left="0" w:right="0" w:firstLine="576"/>
        <w:jc w:val="left"/>
      </w:pPr>
      <w:r>
        <w:rPr/>
        <w:t xml:space="preserve">(h) Subject matter experts determined to be necessary by the department. </w:t>
      </w:r>
    </w:p>
    <w:p>
      <w:pPr>
        <w:spacing w:before="0" w:after="0" w:line="408" w:lineRule="exact"/>
        <w:ind w:left="0" w:right="0" w:firstLine="576"/>
        <w:jc w:val="left"/>
      </w:pPr>
      <w:r>
        <w:rPr/>
        <w:t xml:space="preserve">(3) In developing the training, the work group may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Requiring training for all employees in a classroom environment; </w:t>
      </w:r>
    </w:p>
    <w:p>
      <w:pPr>
        <w:spacing w:before="0" w:after="0" w:line="408" w:lineRule="exact"/>
        <w:ind w:left="0" w:right="0" w:firstLine="576"/>
        <w:jc w:val="left"/>
      </w:pPr>
      <w:r>
        <w:rPr/>
        <w:t xml:space="preserve">(c) Interactive teaching strategies that engage across multiple literacy levels;</w:t>
      </w:r>
    </w:p>
    <w:p>
      <w:pPr>
        <w:spacing w:before="0" w:after="0" w:line="408" w:lineRule="exact"/>
        <w:ind w:left="0" w:right="0" w:firstLine="576"/>
        <w:jc w:val="left"/>
      </w:pPr>
      <w:r>
        <w:rPr/>
        <w:t xml:space="preserve">(d) Behaviors and factors that are predictive of harassment and violence;</w:t>
      </w:r>
    </w:p>
    <w:p>
      <w:pPr>
        <w:spacing w:before="0" w:after="0" w:line="408" w:lineRule="exact"/>
        <w:ind w:left="0" w:right="0" w:firstLine="576"/>
        <w:jc w:val="left"/>
      </w:pPr>
      <w:r>
        <w:rPr/>
        <w:t xml:space="preserve">(e) The violence escalation cycle;</w:t>
      </w:r>
    </w:p>
    <w:p>
      <w:pPr>
        <w:spacing w:before="0" w:after="0" w:line="408" w:lineRule="exact"/>
        <w:ind w:left="0" w:right="0" w:firstLine="576"/>
        <w:jc w:val="left"/>
      </w:pPr>
      <w:r>
        <w:rPr/>
        <w:t xml:space="preserve">(f) De-escalation techniques to minimize violent behavior;</w:t>
      </w:r>
    </w:p>
    <w:p>
      <w:pPr>
        <w:spacing w:before="0" w:after="0" w:line="408" w:lineRule="exact"/>
        <w:ind w:left="0" w:right="0" w:firstLine="576"/>
        <w:jc w:val="left"/>
      </w:pPr>
      <w:r>
        <w:rPr/>
        <w:t xml:space="preserve">(g) Strategies to prevent physical harm with hands-on practice or role play;</w:t>
      </w:r>
    </w:p>
    <w:p>
      <w:pPr>
        <w:spacing w:before="0" w:after="0" w:line="408" w:lineRule="exact"/>
        <w:ind w:left="0" w:right="0" w:firstLine="576"/>
        <w:jc w:val="left"/>
      </w:pPr>
      <w:r>
        <w:rPr/>
        <w:t xml:space="preserve">(h) Documenting and reporting incidents;</w:t>
      </w:r>
    </w:p>
    <w:p>
      <w:pPr>
        <w:spacing w:before="0" w:after="0" w:line="408" w:lineRule="exact"/>
        <w:ind w:left="0" w:right="0" w:firstLine="576"/>
        <w:jc w:val="left"/>
      </w:pPr>
      <w:r>
        <w:rPr/>
        <w:t xml:space="preserve">(i) The debriefing process for affected employees following violent acts; </w:t>
      </w:r>
    </w:p>
    <w:p>
      <w:pPr>
        <w:spacing w:before="0" w:after="0" w:line="408" w:lineRule="exact"/>
        <w:ind w:left="0" w:right="0" w:firstLine="576"/>
        <w:jc w:val="left"/>
      </w:pPr>
      <w:r>
        <w:rPr/>
        <w:t xml:space="preserve">(j) Resources available to employees for coping with the effects of violence; and</w:t>
      </w:r>
    </w:p>
    <w:p>
      <w:pPr>
        <w:spacing w:before="0" w:after="0" w:line="408" w:lineRule="exact"/>
        <w:ind w:left="0" w:right="0" w:firstLine="576"/>
        <w:jc w:val="left"/>
      </w:pPr>
      <w:r>
        <w:rPr/>
        <w:t xml:space="preserve">(k) Other best practices from trainings developed in other states or for other industries to prevent discrimination and abusive conduct in home care settings or the workplace. </w:t>
      </w:r>
    </w:p>
    <w:p>
      <w:pPr>
        <w:spacing w:before="0" w:after="0" w:line="408" w:lineRule="exact"/>
        <w:ind w:left="0" w:right="0" w:firstLine="576"/>
        <w:jc w:val="left"/>
      </w:pPr>
      <w:r>
        <w:rPr/>
        <w:t xml:space="preserve">(4) By December 1, 2020, the work group must submit to the legislature a report with recommendations for training long-term care workers, agency supervisors, and clients. The recommendations must include:</w:t>
      </w:r>
    </w:p>
    <w:p>
      <w:pPr>
        <w:spacing w:before="0" w:after="0" w:line="408" w:lineRule="exact"/>
        <w:ind w:left="0" w:right="0" w:firstLine="576"/>
        <w:jc w:val="left"/>
      </w:pPr>
      <w:r>
        <w:rPr/>
        <w:t xml:space="preserve">(a) Minimum training requirements for workers, supervisors, and clients;</w:t>
      </w:r>
    </w:p>
    <w:p>
      <w:pPr>
        <w:spacing w:before="0" w:after="0" w:line="408" w:lineRule="exact"/>
        <w:ind w:left="0" w:right="0" w:firstLine="576"/>
        <w:jc w:val="left"/>
      </w:pPr>
      <w:r>
        <w:rPr/>
        <w:t xml:space="preserve">(b) Recommended training modalities for workers, supervisors, and clients; and</w:t>
      </w:r>
    </w:p>
    <w:p>
      <w:pPr>
        <w:spacing w:before="0" w:after="0" w:line="408" w:lineRule="exact"/>
        <w:ind w:left="0" w:right="0" w:firstLine="576"/>
        <w:jc w:val="left"/>
      </w:pPr>
      <w:r>
        <w:rPr/>
        <w:t xml:space="preserve">(c) Criteria for qualified long-term care worker training organizations.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the department may assess a civil penalty in an amount not to exceed five thousand dollars for each instance a covered employer fails to meet the requirements of sections 3 through 7 of this act. The department must deposit civil penalties assessed under this act in the supplemental pension fund established under RCW 51.44.033. </w:t>
      </w:r>
    </w:p>
    <w:p>
      <w:pPr>
        <w:spacing w:before="0" w:after="0" w:line="408" w:lineRule="exact"/>
        <w:ind w:left="0" w:right="0" w:firstLine="576"/>
        <w:jc w:val="left"/>
      </w:pPr>
      <w:r>
        <w:rPr/>
        <w:t xml:space="preserve">(2) The civil penalties assessed shall cover the department's administrative costs for enforcing the requirements of sections 3 through 7 of this act. In the event the funds from civil penalties exceed the department's cost for enforcement, the department shall utilize the excess funds to grant money to community organizations that will assist the department with enforcement. The department may work with stakeholders to develop the community enforcement grant program.</w:t>
      </w:r>
    </w:p>
    <w:p>
      <w:pPr>
        <w:spacing w:before="0" w:after="0" w:line="408" w:lineRule="exact"/>
        <w:ind w:left="0" w:right="0" w:firstLine="576"/>
        <w:jc w:val="left"/>
      </w:pPr>
      <w:r>
        <w:rPr/>
        <w:t xml:space="preserve">(3) A covered employer's failure to meet the requirements of this chapter shall be evidence of a breach of duty of care. </w:t>
      </w:r>
    </w:p>
    <w:p>
      <w:pPr>
        <w:spacing w:before="0" w:after="0" w:line="408" w:lineRule="exact"/>
        <w:ind w:left="0" w:right="0" w:firstLine="576"/>
        <w:jc w:val="left"/>
      </w:pPr>
      <w:r>
        <w:rPr/>
        <w:t xml:space="preserve">(4) The department may conduct investigations to ensure compliance with this chapter when information is obtained that a covered employer may be committing a violation under this chapter. This information includes, but is not limited to, complaints from employees, and the data that is required by section 6 of this act to be submitted to the department by covered employers.</w:t>
      </w:r>
    </w:p>
    <w:p>
      <w:pPr>
        <w:spacing w:before="0" w:after="0" w:line="408" w:lineRule="exact"/>
        <w:ind w:left="0" w:right="0" w:firstLine="576"/>
        <w:jc w:val="left"/>
      </w:pPr>
      <w:r>
        <w:rPr/>
        <w:t xml:space="preserve">(5) The department may prioritize investigations as needed to allow for timely resolution.</w:t>
      </w:r>
    </w:p>
    <w:p>
      <w:pPr>
        <w:spacing w:before="0" w:after="0" w:line="408" w:lineRule="exact"/>
        <w:ind w:left="0" w:right="0" w:firstLine="576"/>
        <w:jc w:val="left"/>
      </w:pPr>
      <w:r>
        <w:rPr/>
        <w:t xml:space="preserve">(6) Nothing in this chapter limits the department's ability to investigate under any other authority.</w:t>
      </w:r>
    </w:p>
    <w:p>
      <w:pPr>
        <w:spacing w:before="0" w:after="0" w:line="408" w:lineRule="exact"/>
        <w:ind w:left="0" w:right="0" w:firstLine="576"/>
        <w:jc w:val="left"/>
      </w:pPr>
      <w:r>
        <w:rPr/>
        <w:t xml:space="preserve">(7) Nothing in this chapter limits a worker's right to pursue private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NumType w:start="1"/>
      <w:footerReference xmlns:r="http://schemas.openxmlformats.org/officeDocument/2006/relationships" r:id="R93ead1d39de14a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2b7ae9670414a" /><Relationship Type="http://schemas.openxmlformats.org/officeDocument/2006/relationships/footer" Target="/word/footer1.xml" Id="R93ead1d39de14a67" /></Relationships>
</file>