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805196883e4e3e" /></Relationships>
</file>

<file path=word/document.xml><?xml version="1.0" encoding="utf-8"?>
<w:document xmlns:w="http://schemas.openxmlformats.org/wordprocessingml/2006/main">
  <w:body>
    <w:p>
      <w:r>
        <w:t>Z-0779.1</w:t>
      </w:r>
    </w:p>
    <w:p>
      <w:pPr>
        <w:jc w:val="center"/>
      </w:pPr>
      <w:r>
        <w:t>_______________________________________________</w:t>
      </w:r>
    </w:p>
    <w:p/>
    <w:p>
      <w:pPr>
        <w:jc w:val="center"/>
      </w:pPr>
      <w:r>
        <w:rPr>
          <w:b/>
        </w:rPr>
        <w:t>SENATE BILL 6318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Lovelett, and Wilson, C.; by request of Office of the Governor</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electric marine battery incentive; amending RCW 82.08.996 and 82.12.996; amending 2019 c 287 s 20 (uncodified);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996</w:t>
      </w:r>
      <w:r>
        <w:rPr/>
        <w:t xml:space="preserve"> and 2019 c 287 s 21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and</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(5)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996</w:t>
      </w:r>
      <w:r>
        <w:rPr/>
        <w:t xml:space="preserve"> and 2019 c 287 s 22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 "battery-powered electric marine propulsion system" and "vessel" have the same meanings as provided in </w:t>
      </w:r>
      <w:r>
        <w:t>((</w:t>
      </w:r>
      <w:r>
        <w:rPr>
          <w:strike/>
        </w:rPr>
        <w:t xml:space="preserve">section 22 of this act</w:t>
      </w:r>
      <w:r>
        <w:t>))</w:t>
      </w:r>
      <w:r>
        <w:rPr/>
        <w:t xml:space="preserve"> </w:t>
      </w:r>
      <w:r>
        <w:rPr>
          <w:u w:val="single"/>
        </w:rPr>
        <w:t xml:space="preserve">RCW 82.08.996</w:t>
      </w:r>
      <w:r>
        <w:rPr/>
        <w:t xml:space="preserve">.</w:t>
      </w:r>
    </w:p>
    <w:p>
      <w:pPr>
        <w:spacing w:before="0" w:after="0" w:line="408" w:lineRule="exact"/>
        <w:ind w:left="0" w:right="0" w:firstLine="576"/>
        <w:jc w:val="left"/>
      </w:pPr>
      <w:r>
        <w:rPr/>
        <w:t xml:space="preserve">(5)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287 s 20</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preferences contained in </w:t>
      </w:r>
      <w:r>
        <w:rPr>
          <w:u w:val="single"/>
        </w:rPr>
        <w:t xml:space="preserve">sections 1 and 2, chapter . . ., Laws of 2020 (sections 1 and 2 of this act) and</w:t>
      </w:r>
      <w:r>
        <w:rPr/>
        <w:t xml:space="preserve"> sections 21 and 22, chapter 287, Laws of 2019.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w:t>
      </w:r>
      <w:r>
        <w:rPr>
          <w:u w:val="single"/>
        </w:rPr>
        <w:t xml:space="preserve">sections 1 and 2, chapter . . ., Laws of 2020 (sections 1 and 2 of this act) and</w:t>
      </w:r>
      <w:r>
        <w:rPr/>
        <w:t xml:space="preserve"> sections 21 and 22, chapter 287, Laws of 2019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f4d00f4c2bef47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d8d2cb97f441b" /><Relationship Type="http://schemas.openxmlformats.org/officeDocument/2006/relationships/footer" Target="/word/footer1.xml" Id="Rf4d00f4c2bef4799" /></Relationships>
</file>