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6bd869ed6416c" /></Relationships>
</file>

<file path=word/document.xml><?xml version="1.0" encoding="utf-8"?>
<w:document xmlns:w="http://schemas.openxmlformats.org/wordprocessingml/2006/main">
  <w:body>
    <w:p>
      <w:r>
        <w:t>Z-0753.1</w:t>
      </w:r>
    </w:p>
    <w:p>
      <w:pPr>
        <w:jc w:val="center"/>
      </w:pPr>
      <w:r>
        <w:t>_______________________________________________</w:t>
      </w:r>
    </w:p>
    <w:p/>
    <w:p>
      <w:pPr>
        <w:jc w:val="center"/>
      </w:pPr>
      <w:r>
        <w:rPr>
          <w:b/>
        </w:rPr>
        <w:t>SENATE BILL 6336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Hasegawa, Keiser, Nguyen, and Wilson, C.; by request of Office of Financial Management</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parental leave after a pregnancy disability is resolved; and amending RCW 41.04.655.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w:t>
      </w:r>
      <w:r>
        <w:rPr>
          <w:u w:val="single"/>
        </w:rPr>
        <w:t xml:space="preserve">immediately</w:t>
      </w:r>
      <w:r>
        <w:rPr/>
        <w:t xml:space="preserve"> after the birth or placement. </w:t>
      </w:r>
      <w:r>
        <w:rPr>
          <w:u w:val="single"/>
        </w:rPr>
        <w:t xml:space="preserve">However, if the birth parent has a pregnancy disability, the parental leave will begin immediately after the pregnancy disability has resolved. When parental leave is used after a pregnancy disability has resolved, it must be used within the first year after birth.</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
      <w:pPr>
        <w:jc w:val="center"/>
      </w:pPr>
      <w:r>
        <w:rPr>
          <w:b/>
        </w:rPr>
        <w:t>--- END ---</w:t>
      </w:r>
    </w:p>
    <w:sectPr>
      <w:pgNumType w:start="1"/>
      <w:footerReference xmlns:r="http://schemas.openxmlformats.org/officeDocument/2006/relationships" r:id="R3755e4961364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6b2df4653497e" /><Relationship Type="http://schemas.openxmlformats.org/officeDocument/2006/relationships/footer" Target="/word/footer1.xml" Id="R3755e496136445d9" /></Relationships>
</file>