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b9cd76c464d0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Keiser, Braun, Rolfes, Randall, Rivers, Dhingra, Darneille, Wilson, C., Saldaña, and Salomon; by request of Office of the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task force must make funds available to reimburse travel expenses for stakeholders who are not participating on behalf of an employer, governmental agency, or other organization and allow for telephonic or other means of remote participation.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A representative of the organization designated to implement the protection and advocacy program pursuant to RCW 71A.10.080;</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w:t>
      </w:r>
    </w:p>
    <w:p>
      <w:pPr>
        <w:spacing w:before="0" w:after="0" w:line="408" w:lineRule="exact"/>
        <w:ind w:left="0" w:right="0" w:firstLine="576"/>
        <w:jc w:val="left"/>
      </w:pPr>
      <w:r>
        <w:rPr/>
        <w:t xml:space="preserve">(g) Developmental disability self-advocacy organizations; and</w:t>
      </w:r>
    </w:p>
    <w:p>
      <w:pPr>
        <w:spacing w:before="0" w:after="0" w:line="408" w:lineRule="exact"/>
        <w:ind w:left="0" w:right="0" w:firstLine="576"/>
        <w:jc w:val="left"/>
      </w:pPr>
      <w:r>
        <w:rPr/>
        <w:t xml:space="preserve">(h)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 and</w:t>
      </w:r>
    </w:p>
    <w:p>
      <w:pPr>
        <w:spacing w:before="0" w:after="0" w:line="408" w:lineRule="exact"/>
        <w:ind w:left="0" w:right="0" w:firstLine="576"/>
        <w:jc w:val="left"/>
      </w:pPr>
      <w:r>
        <w:rPr/>
        <w:t xml:space="preserve">(p) Conduct a rate study to determine future rates, and enhanced rates when appropriate, for community contracted providers.</w:t>
      </w:r>
    </w:p>
    <w:p>
      <w:pPr>
        <w:spacing w:before="0" w:after="0" w:line="408" w:lineRule="exact"/>
        <w:ind w:left="0" w:right="0" w:firstLine="576"/>
        <w:jc w:val="left"/>
      </w:pPr>
      <w:r>
        <w:rPr/>
        <w:t xml:space="preserve">(7) This section expires July 1, 2022.</w:t>
      </w:r>
    </w:p>
    <w:p/>
    <w:p>
      <w:pPr>
        <w:jc w:val="center"/>
      </w:pPr>
      <w:r>
        <w:rPr>
          <w:b/>
        </w:rPr>
        <w:t>--- END ---</w:t>
      </w:r>
    </w:p>
    <w:sectPr>
      <w:pgNumType w:start="1"/>
      <w:footerReference xmlns:r="http://schemas.openxmlformats.org/officeDocument/2006/relationships" r:id="Ra74562e7aac0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b7c4d24a24f2a" /><Relationship Type="http://schemas.openxmlformats.org/officeDocument/2006/relationships/footer" Target="/word/footer1.xml" Id="Ra74562e7aac04bdf" /></Relationships>
</file>