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4e3a24905461d" /></Relationships>
</file>

<file path=word/document.xml><?xml version="1.0" encoding="utf-8"?>
<w:document xmlns:w="http://schemas.openxmlformats.org/wordprocessingml/2006/main">
  <w:body>
    <w:p>
      <w:r>
        <w:t>S-5408.1</w:t>
      </w:r>
    </w:p>
    <w:p>
      <w:pPr>
        <w:jc w:val="center"/>
      </w:pPr>
      <w:r>
        <w:t>_______________________________________________</w:t>
      </w:r>
    </w:p>
    <w:p/>
    <w:p>
      <w:pPr>
        <w:jc w:val="center"/>
      </w:pPr>
      <w:r>
        <w:rPr>
          <w:b/>
        </w:rPr>
        <w:t>SENATE BILL 6457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Zeiger, Warnick, and O'Ban</w:t>
      </w:r>
    </w:p>
    <w:p/>
    <w:p>
      <w:r>
        <w:rPr>
          <w:t xml:space="preserve">Read first time 01/17/20.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affordability by incentivizing the construction of American dream homes; adding a new section to chapter 36.70A RCW; adding a new section to chapter 82.08 RCW; adding a new section to chapter 82.12 RCW; adding a new section to chapter 82.04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may permit American dream homes in order to encourage the development of residential housing for low-income households.</w:t>
      </w:r>
    </w:p>
    <w:p>
      <w:pPr>
        <w:spacing w:before="0" w:after="0" w:line="408" w:lineRule="exact"/>
        <w:ind w:left="0" w:right="0" w:firstLine="576"/>
        <w:jc w:val="left"/>
      </w:pPr>
      <w:r>
        <w:rPr/>
        <w:t xml:space="preserve">(2) A new American dream home may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one thousand two hundred fifty dollars;</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"American dream home" means an owner-occupied single-family residential detached dwelling of one thousand seven hundred square feet or less serving low-income households.</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2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builder of an American dream home is allowed an annual credit against the tax due under this chapter as provided in this section. The credit equals four percent of the gross selling price of the home.</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2030. No credits can be claimed after June 30, 2031.</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2031.</w:t>
      </w:r>
    </w:p>
    <w:p/>
    <w:p>
      <w:pPr>
        <w:jc w:val="center"/>
      </w:pPr>
      <w:r>
        <w:rPr>
          <w:b/>
        </w:rPr>
        <w:t>--- END ---</w:t>
      </w:r>
    </w:p>
    <w:sectPr>
      <w:pgNumType w:start="1"/>
      <w:footerReference xmlns:r="http://schemas.openxmlformats.org/officeDocument/2006/relationships" r:id="Rf4e63dd50c6e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295e994754368" /><Relationship Type="http://schemas.openxmlformats.org/officeDocument/2006/relationships/footer" Target="/word/footer1.xml" Id="Rf4e63dd50c6e4b75" /></Relationships>
</file>