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31f96e4d94d49" /></Relationships>
</file>

<file path=word/document.xml><?xml version="1.0" encoding="utf-8"?>
<w:document xmlns:w="http://schemas.openxmlformats.org/wordprocessingml/2006/main">
  <w:body>
    <w:p>
      <w:r>
        <w:t>S-6048.2</w:t>
      </w:r>
    </w:p>
    <w:p>
      <w:pPr>
        <w:jc w:val="center"/>
      </w:pPr>
      <w:r>
        <w:t>_______________________________________________</w:t>
      </w:r>
    </w:p>
    <w:p/>
    <w:p>
      <w:pPr>
        <w:jc w:val="center"/>
      </w:pPr>
      <w:r>
        <w:rPr>
          <w:b/>
        </w:rPr>
        <w:t>SUBSTITUTE SENATE BILL 6476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Stanford, Darneille, Wilson, C., Nguyen, Hasegawa,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and expanding access of inmates and immediate family members of inmates to services provided within correctional facilities; amending RCW 72.09.015; adding new sections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maintaining strong family ties throughout an individual's period of incarceration to help facilitate rehabilitation. Studies have shown that regular visits from family members can reduce recidivism rates by thirteen percent. The legislature recognizes the importance and value that a strong, connected family network can provide to an individual once he or she is released from incarceration. The legislature further recognizes the financial and emotional toll that incarceration can take on the family of those experiencing incarceration. The legislature resolves to increase family interaction by expanding eligibility for family visitation and by providing transparency and availability of services inside correctional institutions. Furthermore, the current indigent cap of ten dollars, which has not increased since 1995, limits access to services inside correctional institutions. Therefore, the legislature finds and declares that the cap shall be increased to twenty-five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w:t>
      </w:r>
      <w:r>
        <w:rPr>
          <w:u w:val="single"/>
        </w:rPr>
        <w:t xml:space="preserve">aunts, uncles,</w:t>
      </w:r>
      <w:r>
        <w:rPr/>
        <w:t xml:space="preserve"> and a person legally married to or in a state registered domestic partnership with an inmate. "Immediate family" </w:t>
      </w:r>
      <w:r>
        <w:rPr>
          <w:u w:val="single"/>
        </w:rPr>
        <w:t xml:space="preserve">includes the immediate family of an inmate who was adopted as a child or an adult, but</w:t>
      </w:r>
      <w:r>
        <w:rPr/>
        <w:t xml:space="preserve"> does not include an inmate adopted by another inmate </w:t>
      </w:r>
      <w:r>
        <w:t>((</w:t>
      </w:r>
      <w:r>
        <w:rPr>
          <w:strike/>
        </w:rPr>
        <w:t xml:space="preserve">or the immediate family of the adopted or adopting inmate</w:t>
      </w:r>
      <w:r>
        <w:t>))</w:t>
      </w:r>
      <w:r>
        <w:rPr/>
        <w:t xml:space="preserv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ten-dollar</w:t>
      </w:r>
      <w:r>
        <w:t>))</w:t>
      </w:r>
      <w:r>
        <w:rPr/>
        <w:t xml:space="preserve"> </w:t>
      </w:r>
      <w:r>
        <w:rPr>
          <w:u w:val="single"/>
        </w:rPr>
        <w:t xml:space="preserve">twenty-five dollar</w:t>
      </w:r>
      <w:r>
        <w:rPr/>
        <w:t xml:space="preserve">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providing access to the facility commissary program in state correctional facilities, the department is strongly encouraged to provide, at a minimum, weekly access to the facility commissary program across all departmental institutions of total confinement. The department may not reduce frequency at departmental institutions that have weekly access to the facility commissary program as of the effective date of this section.</w:t>
      </w:r>
    </w:p>
    <w:p>
      <w:pPr>
        <w:spacing w:before="0" w:after="0" w:line="408" w:lineRule="exact"/>
        <w:ind w:left="0" w:right="0" w:firstLine="576"/>
        <w:jc w:val="left"/>
      </w:pPr>
      <w:r>
        <w:rPr/>
        <w:t xml:space="preserve">(2) By December 1, 2020, the department must provide access to the facility commissary program at least twenty-six times per year or once every two weeks at all institutions of total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 site.</w:t>
      </w:r>
    </w:p>
    <w:p>
      <w:pPr>
        <w:spacing w:before="0" w:after="0" w:line="408" w:lineRule="exact"/>
        <w:ind w:left="0" w:right="0" w:firstLine="576"/>
        <w:jc w:val="left"/>
      </w:pPr>
      <w:r>
        <w:rPr/>
        <w:t xml:space="preserve">(2) The information in this subsection from the contract shall be prominently displayed on the department's public web 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the effective date of this section, and to any renegotiation, renewal, or extension of such contract.</w:t>
      </w:r>
    </w:p>
    <w:p/>
    <w:p>
      <w:pPr>
        <w:jc w:val="center"/>
      </w:pPr>
      <w:r>
        <w:rPr>
          <w:b/>
        </w:rPr>
        <w:t>--- END ---</w:t>
      </w:r>
    </w:p>
    <w:sectPr>
      <w:pgNumType w:start="1"/>
      <w:footerReference xmlns:r="http://schemas.openxmlformats.org/officeDocument/2006/relationships" r:id="R2b69a3492a5544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c75b9a5b04b3f" /><Relationship Type="http://schemas.openxmlformats.org/officeDocument/2006/relationships/footer" Target="/word/footer1.xml" Id="R2b69a3492a554445" /></Relationships>
</file>