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d61bd3c2b343ba" /></Relationships>
</file>

<file path=word/document.xml><?xml version="1.0" encoding="utf-8"?>
<w:document xmlns:w="http://schemas.openxmlformats.org/wordprocessingml/2006/main">
  <w:body>
    <w:p>
      <w:r>
        <w:t>Z-0852.1</w:t>
      </w:r>
    </w:p>
    <w:p>
      <w:pPr>
        <w:jc w:val="center"/>
      </w:pPr>
      <w:r>
        <w:t>_______________________________________________</w:t>
      </w:r>
    </w:p>
    <w:p/>
    <w:p>
      <w:pPr>
        <w:jc w:val="center"/>
      </w:pPr>
      <w:r>
        <w:rPr>
          <w:b/>
        </w:rPr>
        <w:t>SENATE BILL 6482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C. and Darneille; by request of Department of Children, Youth, and Families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by the department of children, youth, and families; amending RCW 43.216.255, 43.216.305, 43.216.395, 72.40.250, 72.40.280, 74.15.125, and 43.216.015; and reenacting and amending RCW 43.216.010.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2017 3rd sp.s. c 6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w:t>
      </w:r>
      <w:r>
        <w:t>((</w:t>
      </w:r>
      <w:r>
        <w:rPr>
          <w:strike/>
        </w:rPr>
        <w:t xml:space="preserve">of three months' or less duration</w:t>
      </w:r>
      <w:r>
        <w:t>))</w:t>
      </w:r>
      <w:r>
        <w:rPr/>
        <w:t xml:space="preserve"> engaged primarily in recreational or educational activities </w:t>
      </w:r>
      <w:r>
        <w:rPr>
          <w:u w:val="single"/>
        </w:rPr>
        <w:t xml:space="preserve">for three consecutive months or less in duration, within each period of twelve consecutive months</w:t>
      </w:r>
      <w:r>
        <w:rPr/>
        <w:t xml:space="preserve">;</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(7)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(8)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(9)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(10)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(11)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(12)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(13)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(14)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(15) </w:t>
      </w:r>
      <w:r>
        <w:rPr>
          <w:u w:val="single"/>
        </w:rPr>
        <w:t xml:space="preserve">"Inspection report" means a written or digital record developed by the department that identifies violations of licensing standards. An inspection report does not include a child care facility licensing compliance agreement as defined in RCW 43.216.395.</w:t>
      </w:r>
    </w:p>
    <w:p>
      <w:pPr>
        <w:spacing w:before="0" w:after="0" w:line="408" w:lineRule="exact"/>
        <w:ind w:left="0" w:right="0" w:firstLine="576"/>
        <w:jc w:val="left"/>
      </w:pPr>
      <w:r>
        <w:rPr>
          <w:u w:val="single"/>
        </w:rPr>
        <w:t xml:space="preserve">(16)</w:t>
      </w:r>
      <w:r>
        <w:rPr/>
        <w:t xml:space="preserve">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"Low-income neighborhood" means a district or community where more than twenty percent of households are below the federal poverty level.</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"Nonschool age child" means a child who is age six years or younger and who is not enrolled in a public or private school.</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"Private school" means a private school approved by the state under chapter 28A.195 RCW.</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"Requirement" means any rule, regulation, or standard of care to be maintained by an agency.</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"Secretary" means the secretary of the department.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255</w:t>
      </w:r>
      <w:r>
        <w:rPr/>
        <w:t xml:space="preserve"> and 2015 3rd sp.s. c 7 s 3 are each amended to read as follows:</w:t>
      </w:r>
    </w:p>
    <w:p>
      <w:pPr>
        <w:spacing w:before="0" w:after="0" w:line="408" w:lineRule="exact"/>
        <w:ind w:left="0" w:right="0" w:firstLine="576"/>
        <w:jc w:val="left"/>
      </w:pPr>
      <w:r>
        <w:rPr/>
        <w:t xml:space="preserve">(1) No later than November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w:t>
      </w:r>
      <w:r>
        <w:t>((</w:t>
      </w:r>
      <w:r>
        <w:rPr>
          <w:strike/>
        </w:rPr>
        <w:t xml:space="preserve">health and safety standards</w:t>
      </w:r>
      <w:r>
        <w:t>))</w:t>
      </w:r>
      <w:r>
        <w:rPr/>
        <w:t xml:space="preserve"> </w:t>
      </w:r>
      <w:r>
        <w:rPr>
          <w:u w:val="single"/>
        </w:rPr>
        <w:t xml:space="preserve">licensing requirements</w:t>
      </w:r>
      <w:r>
        <w:rPr/>
        <w:t xml:space="preserve"> for child care and preschool programs;</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Private schools that operate early learning programs and do not receive state subsidy payments shall be subject only to the minimum health and safety standards </w:t>
      </w:r>
      <w:r>
        <w:t>((</w:t>
      </w:r>
      <w:r>
        <w:rPr>
          <w:strike/>
        </w:rPr>
        <w:t xml:space="preserve">in subsection (1)(a) of this section</w:t>
      </w:r>
      <w:r>
        <w:t>))</w:t>
      </w:r>
      <w:r>
        <w:rPr/>
        <w:t xml:space="preserve"> </w:t>
      </w:r>
      <w:r>
        <w:rPr>
          <w:u w:val="single"/>
        </w:rPr>
        <w:t xml:space="preserve">as defined in RCW 43.216.395(2)(b)</w:t>
      </w:r>
      <w:r>
        <w:rPr/>
        <w:t xml:space="preserve">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2018 c 58 s 40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w:t>
      </w:r>
      <w:r>
        <w:t>((</w:t>
      </w:r>
      <w:r>
        <w:rPr>
          <w:strike/>
        </w:rPr>
        <w:t xml:space="preserve">on forms</w:t>
      </w:r>
      <w:r>
        <w:t>))</w:t>
      </w:r>
      <w:r>
        <w:rPr/>
        <w:t xml:space="preserve"> </w:t>
      </w:r>
      <w:r>
        <w:rPr>
          <w:u w:val="single"/>
        </w:rPr>
        <w:t xml:space="preserve">using a method</w:t>
      </w:r>
      <w:r>
        <w:rPr/>
        <w:t xml:space="preserve">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43.216.315.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The licensee, however, shall advise the secretary of any material change in circumstances which might constitute grounds for reclassification of license as to category. The license issued under this chapter is not transferable and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Submit the annual licensing fee;</w:t>
      </w:r>
    </w:p>
    <w:p>
      <w:pPr>
        <w:spacing w:before="0" w:after="0" w:line="408" w:lineRule="exact"/>
        <w:ind w:left="0" w:right="0" w:firstLine="576"/>
        <w:jc w:val="left"/>
      </w:pPr>
      <w:r>
        <w:rPr/>
        <w:t xml:space="preserve">(b)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rPr/>
        <w:t xml:space="preserve">(c) Submit a declaration of compliance with all licensing rules; and</w:t>
      </w:r>
    </w:p>
    <w:p>
      <w:pPr>
        <w:spacing w:before="0" w:after="0" w:line="408" w:lineRule="exact"/>
        <w:ind w:left="0" w:right="0" w:firstLine="576"/>
        <w:jc w:val="left"/>
      </w:pPr>
      <w:r>
        <w:rPr/>
        <w:t xml:space="preserve">(d) Submit background check applications </w:t>
      </w:r>
      <w:r>
        <w:rPr>
          <w:u w:val="single"/>
        </w:rPr>
        <w:t xml:space="preserve">into the department's electronic workforce registry, as defined by rule and</w:t>
      </w:r>
      <w:r>
        <w:rPr/>
        <w:t xml:space="preserve"> on the schedule established by the department</w:t>
      </w:r>
      <w:r>
        <w:rPr>
          <w:u w:val="single"/>
        </w:rPr>
        <w:t xml:space="preserve">, for all current employees of the agency</w:t>
      </w:r>
      <w:r>
        <w:rPr/>
        <w:t xml:space="preserve">.</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43.216.320.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395</w:t>
      </w:r>
      <w:r>
        <w:rPr/>
        <w:t xml:space="preserve"> and 2017 3rd sp.s. c 6 s 114 are each amended to read as follows:</w:t>
      </w:r>
    </w:p>
    <w:p>
      <w:pPr>
        <w:spacing w:before="0" w:after="0" w:line="408" w:lineRule="exact"/>
        <w:ind w:left="0" w:right="0" w:firstLine="576"/>
        <w:jc w:val="left"/>
      </w:pPr>
      <w:r>
        <w:rPr/>
        <w:t xml:space="preserve">(1) The department shall develop an internal review process to determine whether department licensors have appropriately and consistently applied agency rules </w:t>
      </w:r>
      <w:r>
        <w:t>((</w:t>
      </w:r>
      <w:r>
        <w:rPr>
          <w:strike/>
        </w:rPr>
        <w:t xml:space="preserve">in child care facility licensing compliance agreements</w:t>
      </w:r>
      <w:r>
        <w:t>))</w:t>
      </w:r>
      <w:r>
        <w:rPr/>
        <w:t xml:space="preserve"> </w:t>
      </w:r>
      <w:r>
        <w:rPr>
          <w:u w:val="single"/>
        </w:rPr>
        <w:t xml:space="preserve">on inspection reports</w:t>
      </w:r>
      <w:r>
        <w:rPr/>
        <w:t xml:space="preserve"> that do not involve a violation of health and safety standards. Adverse licensing decisions including license denial, suspension, revocation, modification, or nonrenewal pursuant to RCW 43.216.325 or imposition of civil fines pursuant to RCW 43.216.335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"Child care facility licensing compliance agreement" means an agreement issued by the department in lieu of the department taking enforcement action against a child care provider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 </w:t>
      </w:r>
      <w:r>
        <w:rPr>
          <w:u w:val="single"/>
        </w:rPr>
        <w:t xml:space="preserve">or the licensee's delegate</w:t>
      </w:r>
      <w:r>
        <w:rPr/>
        <w:t xml:space="preserv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w:t>
      </w:r>
      <w:r>
        <w:t>((</w:t>
      </w:r>
      <w:r>
        <w:rPr>
          <w:strike/>
        </w:rPr>
        <w:t xml:space="preserve">substantial</w:t>
      </w:r>
      <w:r>
        <w:t>))</w:t>
      </w:r>
      <w:r>
        <w:rPr/>
        <w:t xml:space="preserve"> risk of bodily</w:t>
      </w:r>
      <w:r>
        <w:rPr>
          <w:u w:val="single"/>
        </w:rPr>
        <w:t xml:space="preserve">, mental, or psychological</w:t>
      </w:r>
      <w:r>
        <w:rPr/>
        <w:t xml:space="preserve"> injury, </w:t>
      </w:r>
      <w:r>
        <w:rPr>
          <w:u w:val="single"/>
        </w:rPr>
        <w:t xml:space="preserve">harm,</w:t>
      </w:r>
      <w:r>
        <w:rPr/>
        <w:t xml:space="preserve">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licensors; and</w:t>
      </w:r>
    </w:p>
    <w:p>
      <w:pPr>
        <w:spacing w:before="0" w:after="0" w:line="408" w:lineRule="exact"/>
        <w:ind w:left="0" w:right="0" w:firstLine="576"/>
        <w:jc w:val="left"/>
      </w:pPr>
      <w:r>
        <w:rPr/>
        <w:t xml:space="preserve">(b) Three child care providers selected by the department from names submitted by the oversight board for children, youth, and families established in RCW 43.216.015.</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w:t>
      </w:r>
      <w:r>
        <w:rPr>
          <w:u w:val="single"/>
        </w:rPr>
        <w:t xml:space="preserve">or the secretary's designee</w:t>
      </w:r>
      <w:r>
        <w:rPr/>
        <w:t xml:space="preserve">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w:t>
      </w:r>
      <w:r>
        <w:t>((</w:t>
      </w:r>
      <w:r>
        <w:rPr>
          <w:strike/>
        </w:rPr>
        <w:t xml:space="preserve">a child care facility licensing compliance agreement</w:t>
      </w:r>
      <w:r>
        <w:t>))</w:t>
      </w:r>
      <w:r>
        <w:rPr/>
        <w:t xml:space="preserve"> </w:t>
      </w:r>
      <w:r>
        <w:rPr>
          <w:u w:val="single"/>
        </w:rPr>
        <w:t xml:space="preserve">an inspection report</w:t>
      </w:r>
      <w:r>
        <w:rPr/>
        <w:t xml:space="preserve"> and the internal review process must be completed within </w:t>
      </w:r>
      <w:r>
        <w:t>((</w:t>
      </w:r>
      <w:r>
        <w:rPr>
          <w:strike/>
        </w:rPr>
        <w:t xml:space="preserve">thirty</w:t>
      </w:r>
      <w:r>
        <w:t>))</w:t>
      </w:r>
      <w:r>
        <w:rPr/>
        <w:t xml:space="preserve"> </w:t>
      </w:r>
      <w:r>
        <w:rPr>
          <w:u w:val="single"/>
        </w:rPr>
        <w:t xml:space="preserve">sixty</w:t>
      </w:r>
      <w:r>
        <w:rPr/>
        <w:t xml:space="preserve"> days after the request from the licensee to initiate the internal review process is received.</w:t>
      </w:r>
    </w:p>
    <w:p>
      <w:pPr>
        <w:spacing w:before="0" w:after="0" w:line="408" w:lineRule="exact"/>
        <w:ind w:left="0" w:right="0" w:firstLine="576"/>
        <w:jc w:val="left"/>
      </w:pPr>
      <w:r>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p>
    <w:p>
      <w:pPr>
        <w:spacing w:before="0" w:after="0" w:line="408" w:lineRule="exact"/>
        <w:ind w:left="0" w:right="0" w:firstLine="576"/>
        <w:jc w:val="left"/>
      </w:pPr>
      <w:r>
        <w:t>((</w:t>
      </w:r>
      <w:r>
        <w:rPr>
          <w:strike/>
        </w:rPr>
        <w:t xml:space="preserve">(6) The department shall not develop a child care facility licensing compliance agreement with a child care provider for first-time violations of rules that do not relate to health and safety standards and that can be corrected on the same day that the violation is identified. The department shall develop a procedure for providing a warning and offering technical assistance to providers in response to these first-time violations.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250</w:t>
      </w:r>
      <w:r>
        <w:rPr/>
        <w:t xml:space="preserve"> and 2019 c 266 s 11 are each amended to read as follows:</w:t>
      </w:r>
    </w:p>
    <w:p>
      <w:pPr>
        <w:spacing w:before="0" w:after="0" w:line="408" w:lineRule="exact"/>
        <w:ind w:left="0" w:right="0" w:firstLine="576"/>
        <w:jc w:val="left"/>
      </w:pPr>
      <w:r>
        <w:rPr/>
        <w:t xml:space="preserve">In addition to the powers and duties under RCW 72.40.022 and 72.40.024, the director of the Washington center for deaf and hard of hearing youth, or the director's designee, and the superintendent of the state school for the blind shall:</w:t>
      </w:r>
    </w:p>
    <w:p>
      <w:pPr>
        <w:spacing w:before="0" w:after="0" w:line="408" w:lineRule="exact"/>
        <w:ind w:left="0" w:right="0" w:firstLine="576"/>
        <w:jc w:val="left"/>
      </w:pPr>
      <w:r>
        <w:rPr/>
        <w:t xml:space="preserve">(1) Develop written procedures for the supervision of employees and volunteers who have the potential for contact with students. Such procedures shall be designed to prevent child abuse and neglect by providing for adequate supervision of such employees and volunteers, taking into consideration such factors as the student population served, architectural factors, and the size of the facility. Such procedures shall include, but need not be limited to, the following:</w:t>
      </w:r>
    </w:p>
    <w:p>
      <w:pPr>
        <w:spacing w:before="0" w:after="0" w:line="408" w:lineRule="exact"/>
        <w:ind w:left="0" w:right="0" w:firstLine="576"/>
        <w:jc w:val="left"/>
      </w:pPr>
      <w:r>
        <w:rPr/>
        <w:t xml:space="preserve">(a) Staffing patterns and the rationale for such;</w:t>
      </w:r>
    </w:p>
    <w:p>
      <w:pPr>
        <w:spacing w:before="0" w:after="0" w:line="408" w:lineRule="exact"/>
        <w:ind w:left="0" w:right="0" w:firstLine="576"/>
        <w:jc w:val="left"/>
      </w:pPr>
      <w:r>
        <w:rPr/>
        <w:t xml:space="preserve">(b) Responsibilities of supervisors;</w:t>
      </w:r>
    </w:p>
    <w:p>
      <w:pPr>
        <w:spacing w:before="0" w:after="0" w:line="408" w:lineRule="exact"/>
        <w:ind w:left="0" w:right="0" w:firstLine="576"/>
        <w:jc w:val="left"/>
      </w:pPr>
      <w:r>
        <w:rPr/>
        <w:t xml:space="preserve">(c) The method by which staff and volunteers are made aware of the identity of all supervisors, including designated on-site supervisors;</w:t>
      </w:r>
    </w:p>
    <w:p>
      <w:pPr>
        <w:spacing w:before="0" w:after="0" w:line="408" w:lineRule="exact"/>
        <w:ind w:left="0" w:right="0" w:firstLine="576"/>
        <w:jc w:val="left"/>
      </w:pPr>
      <w:r>
        <w:rPr/>
        <w:t xml:space="preserve">(d) Provision of written supervisory guidelines to employees and volunteers;</w:t>
      </w:r>
    </w:p>
    <w:p>
      <w:pPr>
        <w:spacing w:before="0" w:after="0" w:line="408" w:lineRule="exact"/>
        <w:ind w:left="0" w:right="0" w:firstLine="576"/>
        <w:jc w:val="left"/>
      </w:pPr>
      <w:r>
        <w:rPr/>
        <w:t xml:space="preserve">(e) Periodic supervisory conferences for employees and volunteers; and</w:t>
      </w:r>
    </w:p>
    <w:p>
      <w:pPr>
        <w:spacing w:before="0" w:after="0" w:line="408" w:lineRule="exact"/>
        <w:ind w:left="0" w:right="0" w:firstLine="576"/>
        <w:jc w:val="left"/>
      </w:pPr>
      <w:r>
        <w:rPr/>
        <w:t xml:space="preserve">(f) Written performance evaluations of staff to be conducted by supervisors in a manner consistent with applicable provisions of the civil service law.</w:t>
      </w:r>
    </w:p>
    <w:p>
      <w:pPr>
        <w:spacing w:before="0" w:after="0" w:line="408" w:lineRule="exact"/>
        <w:ind w:left="0" w:right="0" w:firstLine="576"/>
        <w:jc w:val="left"/>
      </w:pPr>
      <w:r>
        <w:rPr/>
        <w:t xml:space="preserve">(2) Develop written procedures for the protection of students when there is reason to believe an incident has occurred which would render a minor student an abused or neglected child within the meaning of RCW 26.44.020. Such procedures shall include, but need not be limited to, the following:</w:t>
      </w:r>
    </w:p>
    <w:p>
      <w:pPr>
        <w:spacing w:before="0" w:after="0" w:line="408" w:lineRule="exact"/>
        <w:ind w:left="0" w:right="0" w:firstLine="576"/>
        <w:jc w:val="left"/>
      </w:pPr>
      <w:r>
        <w:rPr/>
        <w:t xml:space="preserve">(a) Investigation. Immediately upon notification that a report of child abuse or neglect has been made to the department of </w:t>
      </w:r>
      <w:r>
        <w:t>((</w:t>
      </w:r>
      <w:r>
        <w:rPr>
          <w:strike/>
        </w:rPr>
        <w:t xml:space="preserve">social and health services</w:t>
      </w:r>
      <w:r>
        <w:t>))</w:t>
      </w:r>
      <w:r>
        <w:rPr/>
        <w:t xml:space="preserve"> </w:t>
      </w:r>
      <w:r>
        <w:rPr>
          <w:u w:val="single"/>
        </w:rPr>
        <w:t xml:space="preserve">children, youth, and families</w:t>
      </w:r>
      <w:r>
        <w:rPr/>
        <w:t xml:space="preserve"> or a law enforcement agency, the superintendent or the director, or the director's designee, shall:</w:t>
      </w:r>
    </w:p>
    <w:p>
      <w:pPr>
        <w:spacing w:before="0" w:after="0" w:line="408" w:lineRule="exact"/>
        <w:ind w:left="0" w:right="0" w:firstLine="576"/>
        <w:jc w:val="left"/>
      </w:pPr>
      <w:r>
        <w:rPr/>
        <w:t xml:space="preserve">(i) Preserve any potential evidence through such actions as securing the area where suspected abuse or neglect occurred;</w:t>
      </w:r>
    </w:p>
    <w:p>
      <w:pPr>
        <w:spacing w:before="0" w:after="0" w:line="408" w:lineRule="exact"/>
        <w:ind w:left="0" w:right="0" w:firstLine="576"/>
        <w:jc w:val="left"/>
      </w:pPr>
      <w:r>
        <w:rPr/>
        <w:t xml:space="preserve">(ii) Obtain proper and prompt medical evaluation and treatment, as needed, with documentation of any evidence of abuse or neglect; and</w:t>
      </w:r>
    </w:p>
    <w:p>
      <w:pPr>
        <w:spacing w:before="0" w:after="0" w:line="408" w:lineRule="exact"/>
        <w:ind w:left="0" w:right="0" w:firstLine="576"/>
        <w:jc w:val="left"/>
      </w:pPr>
      <w:r>
        <w:rPr/>
        <w:t xml:space="preserve">(iii) Provide necessary assistance to the department of </w:t>
      </w:r>
      <w:r>
        <w:t>((</w:t>
      </w:r>
      <w:r>
        <w:rPr>
          <w:strike/>
        </w:rPr>
        <w:t xml:space="preserve">social and health services</w:t>
      </w:r>
      <w:r>
        <w:t>))</w:t>
      </w:r>
      <w:r>
        <w:rPr/>
        <w:t xml:space="preserve"> </w:t>
      </w:r>
      <w:r>
        <w:rPr>
          <w:u w:val="single"/>
        </w:rPr>
        <w:t xml:space="preserve">children, youth, and families</w:t>
      </w:r>
      <w:r>
        <w:rPr/>
        <w:t xml:space="preserve"> and local law enforcement in their investigations;</w:t>
      </w:r>
    </w:p>
    <w:p>
      <w:pPr>
        <w:spacing w:before="0" w:after="0" w:line="408" w:lineRule="exact"/>
        <w:ind w:left="0" w:right="0" w:firstLine="576"/>
        <w:jc w:val="left"/>
      </w:pPr>
      <w:r>
        <w:rPr/>
        <w:t xml:space="preserve">(b) Safety. Upon notification that a report of suspected child abuse or neglect has been made to the department of </w:t>
      </w:r>
      <w:r>
        <w:t>((</w:t>
      </w:r>
      <w:r>
        <w:rPr>
          <w:strike/>
        </w:rPr>
        <w:t xml:space="preserve">social and health services</w:t>
      </w:r>
      <w:r>
        <w:t>))</w:t>
      </w:r>
      <w:r>
        <w:rPr/>
        <w:t xml:space="preserve"> </w:t>
      </w:r>
      <w:r>
        <w:rPr>
          <w:u w:val="single"/>
        </w:rPr>
        <w:t xml:space="preserve">children, youth, and families</w:t>
      </w:r>
      <w:r>
        <w:rPr/>
        <w:t xml:space="preserve"> or a law enforcement agency, the superintendent or the director or his or her designee, with consideration for causing as little disruption as possible to the daily routines of the students, shall evaluate the situation and immediately take appropriate action to assure the health and safety of the students involved in the report and of any other students similarly situated, and take such additional action as is necessary to prevent future acts of abuse or neglect. Such action may include:</w:t>
      </w:r>
    </w:p>
    <w:p>
      <w:pPr>
        <w:spacing w:before="0" w:after="0" w:line="408" w:lineRule="exact"/>
        <w:ind w:left="0" w:right="0" w:firstLine="576"/>
        <w:jc w:val="left"/>
      </w:pPr>
      <w:r>
        <w:rPr/>
        <w:t xml:space="preserve">(i) Consistent with federal and state law:</w:t>
      </w:r>
    </w:p>
    <w:p>
      <w:pPr>
        <w:spacing w:before="0" w:after="0" w:line="408" w:lineRule="exact"/>
        <w:ind w:left="0" w:right="0" w:firstLine="576"/>
        <w:jc w:val="left"/>
      </w:pPr>
      <w:r>
        <w:rPr/>
        <w:t xml:space="preserve">(A) Removing the alleged perpetrator from the school;</w:t>
      </w:r>
    </w:p>
    <w:p>
      <w:pPr>
        <w:spacing w:before="0" w:after="0" w:line="408" w:lineRule="exact"/>
        <w:ind w:left="0" w:right="0" w:firstLine="576"/>
        <w:jc w:val="left"/>
      </w:pPr>
      <w:r>
        <w:rPr/>
        <w:t xml:space="preserve">(B) Increasing the degree of supervision of the alleged perpetrator; and</w:t>
      </w:r>
    </w:p>
    <w:p>
      <w:pPr>
        <w:spacing w:before="0" w:after="0" w:line="408" w:lineRule="exact"/>
        <w:ind w:left="0" w:right="0" w:firstLine="576"/>
        <w:jc w:val="left"/>
      </w:pPr>
      <w:r>
        <w:rPr/>
        <w:t xml:space="preserve">(C) Initiating appropriate disciplinary action against the alleged perpetrator;</w:t>
      </w:r>
    </w:p>
    <w:p>
      <w:pPr>
        <w:spacing w:before="0" w:after="0" w:line="408" w:lineRule="exact"/>
        <w:ind w:left="0" w:right="0" w:firstLine="576"/>
        <w:jc w:val="left"/>
      </w:pPr>
      <w:r>
        <w:rPr/>
        <w:t xml:space="preserve">(ii) Provision of increased training and increased supervision to volunteers and staff pertinent to the prevention and remediation of abuse and neglect;</w:t>
      </w:r>
    </w:p>
    <w:p>
      <w:pPr>
        <w:spacing w:before="0" w:after="0" w:line="408" w:lineRule="exact"/>
        <w:ind w:left="0" w:right="0" w:firstLine="576"/>
        <w:jc w:val="left"/>
      </w:pPr>
      <w:r>
        <w:rPr/>
        <w:t xml:space="preserve">(iii) Temporary removal of the students from a program and reassignment of the students within the school, as an emergency measure, if it is determined that there is a risk to the health or safety of such students in remaining in that program. Whenever a student is removed, pursuant to this subsection (2)(b)(iii), from a special education program or service specified in his or her individualized education program, the action shall be reviewed in an individualized education program meeting; and</w:t>
      </w:r>
    </w:p>
    <w:p>
      <w:pPr>
        <w:spacing w:before="0" w:after="0" w:line="408" w:lineRule="exact"/>
        <w:ind w:left="0" w:right="0" w:firstLine="576"/>
        <w:jc w:val="left"/>
      </w:pPr>
      <w:r>
        <w:rPr/>
        <w:t xml:space="preserve">(iv) Provision of counseling to the students involved in the report or any other students, as appropriate;</w:t>
      </w:r>
    </w:p>
    <w:p>
      <w:pPr>
        <w:spacing w:before="0" w:after="0" w:line="408" w:lineRule="exact"/>
        <w:ind w:left="0" w:right="0" w:firstLine="576"/>
        <w:jc w:val="left"/>
      </w:pPr>
      <w:r>
        <w:rPr/>
        <w:t xml:space="preserve">(c) Corrective action plans. Upon receipt of the results of an investigation by the department of </w:t>
      </w:r>
      <w:r>
        <w:t>((</w:t>
      </w:r>
      <w:r>
        <w:rPr>
          <w:strike/>
        </w:rPr>
        <w:t xml:space="preserve">social and health services</w:t>
      </w:r>
      <w:r>
        <w:t>))</w:t>
      </w:r>
      <w:r>
        <w:rPr/>
        <w:t xml:space="preserve"> </w:t>
      </w:r>
      <w:r>
        <w:rPr>
          <w:u w:val="single"/>
        </w:rPr>
        <w:t xml:space="preserve">children, youth, and families</w:t>
      </w:r>
      <w:r>
        <w:rPr/>
        <w:t xml:space="preserve"> pursuant to a report of suspected child abuse or neglect, the superintendent or the director, or the director's designee, after consideration of any recommendations by the department of </w:t>
      </w:r>
      <w:r>
        <w:t>((</w:t>
      </w:r>
      <w:r>
        <w:rPr>
          <w:strike/>
        </w:rPr>
        <w:t xml:space="preserve">social and health services</w:t>
      </w:r>
      <w:r>
        <w:t>))</w:t>
      </w:r>
      <w:r>
        <w:rPr/>
        <w:t xml:space="preserve"> </w:t>
      </w:r>
      <w:r>
        <w:rPr>
          <w:u w:val="single"/>
        </w:rPr>
        <w:t xml:space="preserve">children, youth, and families</w:t>
      </w:r>
      <w:r>
        <w:rPr/>
        <w:t xml:space="preserve"> for preventive and remedial action, shall implement a written plan of action designed to assure the continued health and safety of students and to provide for the prevention of future acts of abuse or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280</w:t>
      </w:r>
      <w:r>
        <w:rPr/>
        <w:t xml:space="preserve"> and 2009 c 381 s 21 are each amended to read as follows:</w:t>
      </w:r>
    </w:p>
    <w:p>
      <w:pPr>
        <w:spacing w:before="0" w:after="0" w:line="408" w:lineRule="exact"/>
        <w:ind w:left="0" w:right="0" w:firstLine="576"/>
        <w:jc w:val="left"/>
      </w:pPr>
      <w:r>
        <w:rPr/>
        <w:t xml:space="preserve">(1) The department of </w:t>
      </w:r>
      <w:r>
        <w:t>((</w:t>
      </w:r>
      <w:r>
        <w:rPr>
          <w:strike/>
        </w:rPr>
        <w:t xml:space="preserve">social and health services</w:t>
      </w:r>
      <w:r>
        <w:t>))</w:t>
      </w:r>
      <w:r>
        <w:rPr/>
        <w:t xml:space="preserve"> </w:t>
      </w:r>
      <w:r>
        <w:rPr>
          <w:u w:val="single"/>
        </w:rPr>
        <w:t xml:space="preserve">children, youth, and families</w:t>
      </w:r>
      <w:r>
        <w:rPr/>
        <w:t xml:space="preserve"> must periodically monitor the residential program at the state school for the deaf, including but not limited to examining the residential-related policies and procedures as well as the residential facilities. The department of </w:t>
      </w:r>
      <w:r>
        <w:t>((</w:t>
      </w:r>
      <w:r>
        <w:rPr>
          <w:strike/>
        </w:rPr>
        <w:t xml:space="preserve">social and health services</w:t>
      </w:r>
      <w:r>
        <w:t>))</w:t>
      </w:r>
      <w:r>
        <w:rPr/>
        <w:t xml:space="preserve"> </w:t>
      </w:r>
      <w:r>
        <w:rPr>
          <w:u w:val="single"/>
        </w:rPr>
        <w:t xml:space="preserve">children, youth, and families</w:t>
      </w:r>
      <w:r>
        <w:rPr/>
        <w:t xml:space="preserve"> must make recommendations to the director and the board of trustees of the center or its successor board on health and safety improvements related to child safety and well-being. The department of </w:t>
      </w:r>
      <w:r>
        <w:t>((</w:t>
      </w:r>
      <w:r>
        <w:rPr>
          <w:strike/>
        </w:rPr>
        <w:t xml:space="preserve">social and health services</w:t>
      </w:r>
      <w:r>
        <w:t>))</w:t>
      </w:r>
      <w:r>
        <w:rPr/>
        <w:t xml:space="preserve"> </w:t>
      </w:r>
      <w:r>
        <w:rPr>
          <w:u w:val="single"/>
        </w:rPr>
        <w:t xml:space="preserve">children, youth, and families</w:t>
      </w:r>
      <w:r>
        <w:rPr/>
        <w:t xml:space="preserve"> must conduct the monitoring reviews at least annually. The director or the director's designee may from time to time request technical assistance from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w:t>
      </w:r>
      <w:r>
        <w:t>((</w:t>
      </w:r>
      <w:r>
        <w:rPr>
          <w:strike/>
        </w:rPr>
        <w:t xml:space="preserve">The department of social and health services must conduct a comprehensive child health and safety review, as defined in rule, of the residential program at the state school for the deaf every three years. </w:t>
      </w:r>
    </w:p>
    <w:p>
      <w:pPr>
        <w:spacing w:before="0" w:after="0" w:line="408" w:lineRule="exact"/>
        <w:ind w:left="0" w:right="0" w:firstLine="576"/>
        <w:jc w:val="left"/>
      </w:pPr>
      <w:r>
        <w:rPr>
          <w:strike/>
        </w:rPr>
        <w:t xml:space="preserve">(3)</w:t>
      </w:r>
      <w:r>
        <w:t>))</w:t>
      </w:r>
      <w:r>
        <w:rPr/>
        <w:t xml:space="preserve"> The state school for the deaf must provide the department of </w:t>
      </w:r>
      <w:r>
        <w:t>((</w:t>
      </w:r>
      <w:r>
        <w:rPr>
          <w:strike/>
        </w:rPr>
        <w:t xml:space="preserve">social and health services'</w:t>
      </w:r>
      <w:r>
        <w:t>))</w:t>
      </w:r>
      <w:r>
        <w:rPr/>
        <w:t xml:space="preserve"> </w:t>
      </w:r>
      <w:r>
        <w:rPr>
          <w:u w:val="single"/>
        </w:rPr>
        <w:t xml:space="preserve">children, youth, and families'</w:t>
      </w:r>
      <w:r>
        <w:rPr/>
        <w:t xml:space="preserve"> staff with full and complete access to all records and documents that the department staff may request to carry out the requirements of this section. The department of </w:t>
      </w:r>
      <w:r>
        <w:t>((</w:t>
      </w:r>
      <w:r>
        <w:rPr>
          <w:strike/>
        </w:rPr>
        <w:t xml:space="preserve">social and health services</w:t>
      </w:r>
      <w:r>
        <w:t>))</w:t>
      </w:r>
      <w:r>
        <w:rPr/>
        <w:t xml:space="preserve"> </w:t>
      </w:r>
      <w:r>
        <w:rPr>
          <w:u w:val="single"/>
        </w:rPr>
        <w:t xml:space="preserve">children, youth, and families</w:t>
      </w:r>
      <w:r>
        <w:rPr/>
        <w:t xml:space="preserve"> must have full and complete access to all students and staff of the state school for the deaf to conduct interviews to carry out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For the purposes of this section, the department of </w:t>
      </w:r>
      <w:r>
        <w:t>((</w:t>
      </w:r>
      <w:r>
        <w:rPr>
          <w:strike/>
        </w:rPr>
        <w:t xml:space="preserve">social and health services</w:t>
      </w:r>
      <w:r>
        <w:t>))</w:t>
      </w:r>
      <w:r>
        <w:rPr/>
        <w:t xml:space="preserve"> </w:t>
      </w:r>
      <w:r>
        <w:rPr>
          <w:u w:val="single"/>
        </w:rPr>
        <w:t xml:space="preserve">children, youth, and families</w:t>
      </w:r>
      <w:r>
        <w:rPr/>
        <w:t xml:space="preserve"> must use the safety standards established in this chapter when conducting the reviews.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125</w:t>
      </w:r>
      <w:r>
        <w:rPr/>
        <w:t xml:space="preserve"> and 1995 c 302 s 7 are each amended to read as follows:</w:t>
      </w:r>
    </w:p>
    <w:p>
      <w:pPr>
        <w:spacing w:before="0" w:after="0" w:line="408" w:lineRule="exact"/>
        <w:ind w:left="0" w:right="0" w:firstLine="576"/>
        <w:jc w:val="left"/>
      </w:pPr>
      <w:r>
        <w:rPr/>
        <w:t xml:space="preserve">(1) The department may issue a probationary license to a licensee who has had a license but is temporarily unable to comply with a rule or has been the subject of multiple complaints or concerns about noncompliance if:</w:t>
      </w:r>
    </w:p>
    <w:p>
      <w:pPr>
        <w:spacing w:before="0" w:after="0" w:line="408" w:lineRule="exact"/>
        <w:ind w:left="0" w:right="0" w:firstLine="576"/>
        <w:jc w:val="left"/>
      </w:pPr>
      <w:r>
        <w:rPr/>
        <w:t xml:space="preserve">(a) The noncompliance does not present an immediate threat to the health and well-being of the children but would be likely to do so if allowed to continue; and</w:t>
      </w:r>
    </w:p>
    <w:p>
      <w:pPr>
        <w:spacing w:before="0" w:after="0" w:line="408" w:lineRule="exact"/>
        <w:ind w:left="0" w:right="0" w:firstLine="576"/>
        <w:jc w:val="left"/>
      </w:pPr>
      <w:r>
        <w:rPr/>
        <w:t xml:space="preserve">(b) The licensee has a plan approved by the department to correct the area of noncompliance within the probationary period.</w:t>
      </w:r>
    </w:p>
    <w:p>
      <w:pPr>
        <w:spacing w:before="0" w:after="0" w:line="408" w:lineRule="exact"/>
        <w:ind w:left="0" w:right="0" w:firstLine="576"/>
        <w:jc w:val="left"/>
      </w:pPr>
      <w:r>
        <w:rPr/>
        <w:t xml:space="preserve">(2) A probationary license may be issued for up to six months, and at the discretion of the department it may be extended for an additional six months. The department shall immediately terminate the probationary license, if at any time the noncompliance for which the probationary license was issued presents an immediate threat to the health or well-being of the children.</w:t>
      </w:r>
    </w:p>
    <w:p>
      <w:pPr>
        <w:spacing w:before="0" w:after="0" w:line="408" w:lineRule="exact"/>
        <w:ind w:left="0" w:right="0" w:firstLine="576"/>
        <w:jc w:val="left"/>
      </w:pPr>
      <w:r>
        <w:rPr/>
        <w:t xml:space="preserve">(3) The department may, at any time, issue a probationary license for due cause that states the conditions of probation.</w:t>
      </w:r>
    </w:p>
    <w:p>
      <w:pPr>
        <w:spacing w:before="0" w:after="0" w:line="408" w:lineRule="exact"/>
        <w:ind w:left="0" w:right="0" w:firstLine="576"/>
        <w:jc w:val="left"/>
      </w:pPr>
      <w:r>
        <w:rPr/>
        <w:t xml:space="preserve">(4) An existing license is invalidated when a probationary license is issued.</w:t>
      </w:r>
    </w:p>
    <w:p>
      <w:pPr>
        <w:spacing w:before="0" w:after="0" w:line="408" w:lineRule="exact"/>
        <w:ind w:left="0" w:right="0" w:firstLine="576"/>
        <w:jc w:val="left"/>
      </w:pPr>
      <w:r>
        <w:rPr/>
        <w:t xml:space="preserve">(5) At the expiration of the probationary license, the department shall reinstate the original license for the remainder of its term, issue a new license, or revoke the original license.</w:t>
      </w:r>
    </w:p>
    <w:p>
      <w:pPr>
        <w:spacing w:before="0" w:after="0" w:line="408" w:lineRule="exact"/>
        <w:ind w:left="0" w:right="0" w:firstLine="576"/>
        <w:jc w:val="left"/>
      </w:pPr>
      <w:r>
        <w:rPr/>
        <w:t xml:space="preserve">(6) A right to an adjudicative proceeding shall not accrue to the licensee whose license has been placed on probationary status unless the licensee does not agree with the placement on probationary status and the department then suspends, revokes, or modifies the license.</w:t>
      </w:r>
    </w:p>
    <w:p>
      <w:pPr>
        <w:spacing w:before="0" w:after="0" w:line="408" w:lineRule="exact"/>
        <w:ind w:left="0" w:right="0" w:firstLine="576"/>
        <w:jc w:val="left"/>
      </w:pPr>
      <w:r>
        <w:rPr>
          <w:u w:val="single"/>
        </w:rPr>
        <w:t xml:space="preserve">(7)(a) The department may issue a child-specific license to individuals listed in RCW 13.34.030(21) who opt to become licensed for placement of relative children in the department's care, custody, and control.</w:t>
      </w:r>
    </w:p>
    <w:p>
      <w:pPr>
        <w:spacing w:before="0" w:after="0" w:line="408" w:lineRule="exact"/>
        <w:ind w:left="0" w:right="0" w:firstLine="576"/>
        <w:jc w:val="left"/>
      </w:pPr>
      <w:r>
        <w:rPr>
          <w:u w:val="single"/>
        </w:rPr>
        <w:t xml:space="preserve">(b) Such individuals must meet all minimum licensing requirements for foster family homes established pursuant to RCW 74.15.030 and are subject to child-specific license criteria, which the department is authorized to establish by rule.</w:t>
      </w:r>
    </w:p>
    <w:p>
      <w:pPr>
        <w:spacing w:before="0" w:after="0" w:line="408" w:lineRule="exact"/>
        <w:ind w:left="0" w:right="0" w:firstLine="576"/>
        <w:jc w:val="left"/>
      </w:pPr>
      <w:r>
        <w:rPr>
          <w:u w:val="single"/>
        </w:rPr>
        <w:t xml:space="preserve">(c) For purposes of federal funding, a child-specific license is considered a full license with all of the rights and responsibilities of a foster family home license, except that at the discretion of the department the licensee may only receive placement of specific children who are related to the licensee.</w:t>
      </w:r>
    </w:p>
    <w:p>
      <w:pPr>
        <w:spacing w:before="0" w:after="0" w:line="408" w:lineRule="exact"/>
        <w:ind w:left="0" w:right="0" w:firstLine="576"/>
        <w:jc w:val="left"/>
      </w:pPr>
      <w:r>
        <w:rPr>
          <w:u w:val="single"/>
        </w:rPr>
        <w:t xml:space="preserve">(d) Placement with a relative who holds a child-specific license is subject to the department's sole discretion. A child-specific license does not confer upon the licensee a right to placement of a particular child, nor does it confer party status in any proceeding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2019 c 429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reducing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w:t>
      </w:r>
      <w:r>
        <w:t>((</w:t>
      </w:r>
      <w:r>
        <w:rPr>
          <w:strike/>
        </w:rPr>
        <w:t xml:space="preserve">in child care facility licensing compliance agreements as defined in RCW 43.216.395</w:t>
      </w:r>
      <w:r>
        <w:t>))</w:t>
      </w:r>
      <w:r>
        <w:rPr/>
        <w:t xml:space="preserve"> </w:t>
      </w:r>
      <w:r>
        <w:rPr>
          <w:u w:val="single"/>
        </w:rPr>
        <w:t xml:space="preserve">on inspection reports</w:t>
      </w:r>
      <w:r>
        <w:rPr/>
        <w:t xml:space="preserve">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
      <w:pPr>
        <w:jc w:val="center"/>
      </w:pPr>
      <w:r>
        <w:rPr>
          <w:b/>
        </w:rPr>
        <w:t>--- END ---</w:t>
      </w:r>
    </w:p>
    <w:sectPr>
      <w:pgNumType w:start="1"/>
      <w:footerReference xmlns:r="http://schemas.openxmlformats.org/officeDocument/2006/relationships" r:id="R3af18691e43e47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aa612fb9eb41b9" /><Relationship Type="http://schemas.openxmlformats.org/officeDocument/2006/relationships/footer" Target="/word/footer1.xml" Id="R3af18691e43e4796" /></Relationships>
</file>