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64fcfd2d343f7" /></Relationships>
</file>

<file path=word/document.xml><?xml version="1.0" encoding="utf-8"?>
<w:document xmlns:w="http://schemas.openxmlformats.org/wordprocessingml/2006/main">
  <w:body>
    <w:p>
      <w:r>
        <w:t>S-5595.1</w:t>
      </w:r>
    </w:p>
    <w:p>
      <w:pPr>
        <w:jc w:val="center"/>
      </w:pPr>
      <w:r>
        <w:t>_______________________________________________</w:t>
      </w:r>
    </w:p>
    <w:p/>
    <w:p>
      <w:pPr>
        <w:jc w:val="center"/>
      </w:pPr>
      <w:r>
        <w:rPr>
          <w:b/>
        </w:rPr>
        <w:t>SENATE BILL 6578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Honeyford, Van De Wege, King,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pumped storage projects located in a county bordering the Columbia river utilizing statutorily authorized water rights to be projects of statewide significance; amending RCW 43.157.010;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 national leader in the transition to one hundred percent clean electricity, resulting in substantial reductions in the emissions of greenhouse gases. In 2012, the legislature authorized certain water rights to be used to enable a pumped storage project, codified as RCW 54.16.410. As more variable renewable energy facilities come online to facilitate the transition to our clean energy future, additional renewable energy storage facilities may be used in place of greenhouse gas emitting generation to integrate variable renewable energy. Expediting beneficial use of those authorized water rights for a pumped storage project will enable investment of more than one billion dollars in, and provide economic development to, a rural county, and facilitate construction and operation of additional renewable energy throughout the state and the west. </w:t>
      </w:r>
    </w:p>
    <w:p>
      <w:pPr>
        <w:spacing w:before="0" w:after="0" w:line="408" w:lineRule="exact"/>
        <w:ind w:left="0" w:right="0" w:firstLine="576"/>
        <w:jc w:val="left"/>
      </w:pPr>
      <w:r>
        <w:rPr/>
        <w:t xml:space="preserve">(2) The legislature further finds that certain studies indicate a resource adequacy shortfall on the region's electric grid by 2025 and it is in the interest of the state to expedite pump storage projects that will address this shortfall.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2017 c 288 s 2 are each amended to read as follows:</w:t>
      </w:r>
    </w:p>
    <w:p>
      <w:pPr>
        <w:spacing w:before="0" w:after="0" w:line="408" w:lineRule="exact"/>
        <w:ind w:left="0" w:right="0" w:firstLine="576"/>
        <w:jc w:val="left"/>
      </w:pPr>
      <w:r>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w:t>
      </w:r>
    </w:p>
    <w:p>
      <w:pPr>
        <w:spacing w:before="0" w:after="0" w:line="408" w:lineRule="exact"/>
        <w:ind w:left="0" w:right="0" w:firstLine="576"/>
        <w:jc w:val="left"/>
      </w:pPr>
      <w:r>
        <w:rPr/>
        <w:t xml:space="preserve">(v) An aviation biofuels production facility; </w:t>
      </w:r>
      <w:r>
        <w:t>((</w:t>
      </w:r>
      <w:r>
        <w:rPr>
          <w:strike/>
        </w:rPr>
        <w:t xml:space="preserve">or</w:t>
      </w:r>
      <w:r>
        <w:t>))</w:t>
      </w:r>
    </w:p>
    <w:p>
      <w:pPr>
        <w:spacing w:before="0" w:after="0" w:line="408" w:lineRule="exact"/>
        <w:ind w:left="0" w:right="0" w:firstLine="576"/>
        <w:jc w:val="left"/>
      </w:pPr>
      <w:r>
        <w:rPr/>
        <w:t xml:space="preserve">(vi) </w:t>
      </w:r>
      <w:r>
        <w:rPr>
          <w:u w:val="single"/>
        </w:rPr>
        <w:t xml:space="preserve">A pumped storage project using water rights approved by the legislature for that purpose; or</w:t>
      </w:r>
    </w:p>
    <w:p>
      <w:pPr>
        <w:spacing w:before="0" w:after="0" w:line="408" w:lineRule="exact"/>
        <w:ind w:left="0" w:right="0" w:firstLine="576"/>
        <w:jc w:val="left"/>
      </w:pPr>
      <w:r>
        <w:rPr>
          <w:u w:val="single"/>
        </w:rPr>
        <w:t xml:space="preserve">(vii)</w:t>
      </w:r>
      <w:r>
        <w:rPr/>
        <w:t xml:space="preserve"> A project designated by the legislature and codified under this chapter.</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
      <w:pPr>
        <w:jc w:val="center"/>
      </w:pPr>
      <w:r>
        <w:rPr>
          <w:b/>
        </w:rPr>
        <w:t>--- END ---</w:t>
      </w:r>
    </w:p>
    <w:sectPr>
      <w:pgNumType w:start="1"/>
      <w:footerReference xmlns:r="http://schemas.openxmlformats.org/officeDocument/2006/relationships" r:id="R349328b5f08946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01123669fe4a10" /><Relationship Type="http://schemas.openxmlformats.org/officeDocument/2006/relationships/footer" Target="/word/footer1.xml" Id="R349328b5f089466b" /></Relationships>
</file>