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7d271486f2486c" /></Relationships>
</file>

<file path=word/document.xml><?xml version="1.0" encoding="utf-8"?>
<w:document xmlns:w="http://schemas.openxmlformats.org/wordprocessingml/2006/main">
  <w:body>
    <w:p>
      <w:r>
        <w:t>S-5481.1</w:t>
      </w:r>
    </w:p>
    <w:p>
      <w:pPr>
        <w:jc w:val="center"/>
      </w:pPr>
      <w:r>
        <w:t>_______________________________________________</w:t>
      </w:r>
    </w:p>
    <w:p/>
    <w:p>
      <w:pPr>
        <w:jc w:val="center"/>
      </w:pPr>
      <w:r>
        <w:rPr>
          <w:b/>
        </w:rPr>
        <w:t>SENATE BILL 6584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Pedersen, O'Ban, and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unlawful purchase of a firearm; reenacting and amending RCW 9.94A.515;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eighteen years of age or older, is guilty of the crime of unlawful purchase of a firearm if the person, knowing that the person is prohibited by state law from owning or possessing the firearm or having the firearm under the person's custody or control, purchases or attempts to purchase the firearm.</w:t>
      </w:r>
    </w:p>
    <w:p>
      <w:pPr>
        <w:spacing w:before="0" w:after="0" w:line="408" w:lineRule="exact"/>
        <w:ind w:left="0" w:right="0" w:firstLine="576"/>
        <w:jc w:val="left"/>
      </w:pPr>
      <w:r>
        <w:rPr/>
        <w:t xml:space="preserve">(2) Unlawful purchase of a firearm is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Purchase of a Firearm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0e28ccd4e70e44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fe46ea23c1426f" /><Relationship Type="http://schemas.openxmlformats.org/officeDocument/2006/relationships/footer" Target="/word/footer1.xml" Id="R0e28ccd4e70e44ef" /></Relationships>
</file>