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9961c7a9954d93" /></Relationships>
</file>

<file path=word/document.xml><?xml version="1.0" encoding="utf-8"?>
<w:document xmlns:w="http://schemas.openxmlformats.org/wordprocessingml/2006/main">
  <w:body>
    <w:p>
      <w:r>
        <w:t>S-6001.2</w:t>
      </w:r>
    </w:p>
    <w:p>
      <w:pPr>
        <w:jc w:val="center"/>
      </w:pPr>
      <w:r>
        <w:t>_______________________________________________</w:t>
      </w:r>
    </w:p>
    <w:p/>
    <w:p>
      <w:pPr>
        <w:jc w:val="center"/>
      </w:pPr>
      <w:r>
        <w:rPr>
          <w:b/>
        </w:rPr>
        <w:t>SUBSTITUTE SENATE BILL 6585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Zeiger, Walsh, Darneille, O'Ban, Conway, Nguyen,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county jails to use medication-assisted treatment; reenacting and amending RCW 71.24.580; adding a new section to chapter 70.48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To the extent that funds are specifically appropriated by the legislature for this purpose, a county jail shall provide medication-assisted treatment therapies for persons in custody experiencing opioid use disorders.</w:t>
      </w:r>
    </w:p>
    <w:p>
      <w:pPr>
        <w:spacing w:before="0" w:after="0" w:line="408" w:lineRule="exact"/>
        <w:ind w:left="0" w:right="0" w:firstLine="576"/>
        <w:jc w:val="left"/>
      </w:pPr>
      <w:r>
        <w:rPr/>
        <w:t xml:space="preserve">(2) Upon request from a county jail, the health care authority shall consult with and provide technical assistance to a county jail regarding the use of appropriate medication-assisted treatments approved by the federal food and drug administration for the treatment of opioid use disorders as deemed medically appropriate by a medical professional during the custody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2019 c 415 s 980, 2019 c 325 s 1040, and 2019 c 314 s 27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t>((</w:t>
      </w:r>
      <w:r>
        <w:rPr>
          <w:strike/>
        </w:rPr>
        <w:t xml:space="preserve">During the 2017-2019 fiscal biennium, the legislature may direct the state treasurer to make transfers of moneys in the criminal justice treatment account to the state general fund. During the 2019-2021 fiscal biennium, the legislature may direct the state treasurer to make transfers of moneys in the criminal justice treatment account to the home security fund account created in RCW 43.185C.060. It is the intent of the legislature to continue the policy of transferring moneys from the criminal justice treatment account to the home security fund account in subsequent biennia.</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 of this act, referencing section 1 of this act by bill or chapter number and section number, is not provided by June 30, 2020, in the omnibus appropriations act, section 1 of this act is null and void.</w:t>
      </w:r>
    </w:p>
    <w:p/>
    <w:p>
      <w:pPr>
        <w:jc w:val="center"/>
      </w:pPr>
      <w:r>
        <w:rPr>
          <w:b/>
        </w:rPr>
        <w:t>--- END ---</w:t>
      </w:r>
    </w:p>
    <w:sectPr>
      <w:pgNumType w:start="1"/>
      <w:footerReference xmlns:r="http://schemas.openxmlformats.org/officeDocument/2006/relationships" r:id="R2798aa8466b542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6165e931fc464a" /><Relationship Type="http://schemas.openxmlformats.org/officeDocument/2006/relationships/footer" Target="/word/footer1.xml" Id="R2798aa8466b542ed" /></Relationships>
</file>