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46fbc424a441a" /></Relationships>
</file>

<file path=word/document.xml><?xml version="1.0" encoding="utf-8"?>
<w:document xmlns:w="http://schemas.openxmlformats.org/wordprocessingml/2006/main">
  <w:body>
    <w:p>
      <w:r>
        <w:t>S-5677.1</w:t>
      </w:r>
    </w:p>
    <w:p>
      <w:pPr>
        <w:jc w:val="center"/>
      </w:pPr>
      <w:r>
        <w:t>_______________________________________________</w:t>
      </w:r>
    </w:p>
    <w:p/>
    <w:p>
      <w:pPr>
        <w:jc w:val="center"/>
      </w:pPr>
      <w:r>
        <w:rPr>
          <w:b/>
        </w:rPr>
        <w:t>SENATE BILL 6613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Lovelett, and Saldaña</w:t>
      </w:r>
    </w:p>
    <w:p/>
    <w:p>
      <w:r>
        <w:rPr>
          <w:t xml:space="preserve">Read first time 01/27/20.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inspection of marine aquatic farming locations; and amending RCW 77.125.030.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2018 c 179 s 9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w:t>
      </w:r>
      <w:r>
        <w:rPr>
          <w:u w:val="single"/>
        </w:rPr>
        <w:t xml:space="preserve">. The rules must provide for the recovery of actual costs associated with inspections, monitoring, and compliance testing by the departments of ecology and fish and wildlife</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must implement this section consistent with RCW 77.125.050.</w:t>
      </w:r>
    </w:p>
    <w:p/>
    <w:p>
      <w:pPr>
        <w:jc w:val="center"/>
      </w:pPr>
      <w:r>
        <w:rPr>
          <w:b/>
        </w:rPr>
        <w:t>--- END ---</w:t>
      </w:r>
    </w:p>
    <w:sectPr>
      <w:pgNumType w:start="1"/>
      <w:footerReference xmlns:r="http://schemas.openxmlformats.org/officeDocument/2006/relationships" r:id="Rb74068cc068944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7b9109e2b4c25" /><Relationship Type="http://schemas.openxmlformats.org/officeDocument/2006/relationships/footer" Target="/word/footer1.xml" Id="Rb74068cc06894496" /></Relationships>
</file>