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55dc3a914498f" /></Relationships>
</file>

<file path=word/document.xml><?xml version="1.0" encoding="utf-8"?>
<w:document xmlns:w="http://schemas.openxmlformats.org/wordprocessingml/2006/main">
  <w:body>
    <w:p>
      <w:r>
        <w:t>S-6203.1</w:t>
      </w:r>
    </w:p>
    <w:p>
      <w:pPr>
        <w:jc w:val="center"/>
      </w:pPr>
      <w:r>
        <w:t>_______________________________________________</w:t>
      </w:r>
    </w:p>
    <w:p/>
    <w:p>
      <w:pPr>
        <w:jc w:val="center"/>
      </w:pPr>
      <w:r>
        <w:rPr>
          <w:b/>
        </w:rPr>
        <w:t>SUBSTITUTE SENATE BILL 6660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Braun, and Mullet)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fiscal responsibility and budget discipline by replacing the spending limit with additional four-year balanced budget requirements; amending RCW 43.88.030, 43.88.055, 43.135.025, 43.135.034, and 82.33.060; adding a new section to chapter 82.33 RCW; repealing RCW 43.135.010, 43.135.0341, 43.135.0342, 43.135.0343, 43.135.0351, 43.135.080, and 43.135.904;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w:t>
      </w:r>
      <w:r>
        <w:rPr>
          <w:u w:val="single"/>
        </w:rPr>
        <w:t xml:space="preserve">(a)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u w:val="single"/>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 For purposes of this subsection (5)(c)(i), "proposed revenue legislation" does not include legislation to appropriate or withdraw moneys from the budget stabilization account.</w:t>
      </w:r>
    </w:p>
    <w:p>
      <w:pPr>
        <w:spacing w:before="0" w:after="0" w:line="408" w:lineRule="exact"/>
        <w:ind w:left="0" w:right="0" w:firstLine="576"/>
        <w:jc w:val="left"/>
      </w:pPr>
      <w:r>
        <w:rPr>
          <w:u w:val="single"/>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u w:val="single"/>
        </w:rPr>
        <w:t xml:space="preserve">(iii) "Related funds" means the Washington opportunity pathways account, the dedicated marijuana account, the liquor revolving fund, the workforce education investment account, and the education legacy trust account.</w:t>
      </w:r>
    </w:p>
    <w:p>
      <w:pPr>
        <w:spacing w:before="0" w:after="0" w:line="408" w:lineRule="exact"/>
        <w:ind w:left="0" w:right="0" w:firstLine="576"/>
        <w:jc w:val="left"/>
      </w:pPr>
      <w:r>
        <w:rPr>
          <w:u w:val="single"/>
        </w:rPr>
        <w:t xml:space="preserve">(d) (b) of this subsection (5) does not apply to any governor proposed legislation submitted to the legislature that makes net reductions in general fund and related funds appropriations to prevent the governor from making across-the-board reductions in allotments for these particular funds as provided in RCW 43.88.110(7).</w:t>
      </w:r>
    </w:p>
    <w:p>
      <w:pPr>
        <w:spacing w:before="0" w:after="0" w:line="408" w:lineRule="exact"/>
        <w:ind w:left="0" w:right="0" w:firstLine="576"/>
        <w:jc w:val="left"/>
      </w:pPr>
      <w:r>
        <w:rPr>
          <w:u w:val="single"/>
        </w:rPr>
        <w:t xml:space="preserve">(6)</w:t>
      </w:r>
      <w:r>
        <w:rPr/>
        <w:t xml:space="preserve">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w:t>
      </w:r>
      <w:r>
        <w:t>((</w:t>
      </w:r>
      <w:r>
        <w:rPr>
          <w:strike/>
        </w:rPr>
        <w:t xml:space="preserve">(5)</w:t>
      </w:r>
      <w:r>
        <w:t>))</w:t>
      </w:r>
      <w:r>
        <w:rPr/>
        <w:t xml:space="preserve"> </w:t>
      </w:r>
      <w:r>
        <w:rPr>
          <w:u w:val="single"/>
        </w:rPr>
        <w:t xml:space="preserve">(6)</w:t>
      </w:r>
      <w:r>
        <w:rPr/>
        <w:t xml:space="preserve">,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dedicated marijuana account, the liquor revolving fund,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w:t>
      </w:r>
      <w:r>
        <w:rPr>
          <w:u w:val="single"/>
        </w:rPr>
        <w:t xml:space="preserve">pursuant to Article VII, section 12(d)(ii)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2015 3rd sp.s. c 29 s 3 are each amended to read as follows:</w:t>
      </w:r>
    </w:p>
    <w:p>
      <w:pPr>
        <w:spacing w:before="0" w:after="0" w:line="408" w:lineRule="exact"/>
        <w:ind w:left="0" w:right="0" w:firstLine="576"/>
        <w:jc w:val="left"/>
      </w:pPr>
      <w:r>
        <w:rPr/>
        <w:t xml:space="preserve">(1) </w:t>
      </w:r>
      <w:r>
        <w:t>((</w:t>
      </w:r>
      <w:r>
        <w:rPr>
          <w:strike/>
        </w:rPr>
        <w:t xml:space="preserve">Beginning July 1, 2021, the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strike/>
        </w:rPr>
        <w:t xml:space="preserve">(2) Except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strike/>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strike/>
        </w:rPr>
        <w:t xml:space="preserve">(4) For purposes of computing the state expenditure limit for the fiscal year beginning July 1, 2021, the phrase "the previous fiscal year's state expenditure limit" means the total state expenditures from the state general fund for the fiscal year beginning July 1, 2020, plus the fiscal growth factor.</w:t>
      </w:r>
    </w:p>
    <w:p>
      <w:pPr>
        <w:spacing w:before="0" w:after="0" w:line="408" w:lineRule="exact"/>
        <w:ind w:left="0" w:right="0" w:firstLine="576"/>
        <w:jc w:val="left"/>
      </w:pPr>
      <w:r>
        <w:rPr>
          <w:strike/>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strike/>
        </w:rPr>
        <w:t xml:space="preserve">(6)</w:t>
      </w:r>
      <w:r>
        <w:t>))</w:t>
      </w:r>
      <w:r>
        <w:rPr/>
        <w:t xml:space="preserve"> Each November, the </w:t>
      </w:r>
      <w:r>
        <w:t>((</w:t>
      </w:r>
      <w:r>
        <w:rPr>
          <w:strike/>
        </w:rPr>
        <w:t xml:space="preserve">state expenditure limit committee</w:t>
      </w:r>
      <w:r>
        <w:t>))</w:t>
      </w:r>
      <w:r>
        <w:rPr/>
        <w:t xml:space="preserve"> </w:t>
      </w:r>
      <w:r>
        <w:rPr>
          <w:u w:val="single"/>
        </w:rPr>
        <w:t xml:space="preserve">economic and revenue forecast council</w:t>
      </w:r>
      <w:r>
        <w:rPr/>
        <w:t xml:space="preserve"> shall </w:t>
      </w:r>
      <w:r>
        <w:t>((</w:t>
      </w:r>
      <w:r>
        <w:rPr>
          <w:strike/>
        </w:rPr>
        <w:t xml:space="preserve">adjust the expenditure limit for the preceding fiscal year based on actual expenditures and known changes in</w:t>
      </w:r>
      <w:r>
        <w:t>))</w:t>
      </w:r>
      <w:r>
        <w:rPr/>
        <w:t xml:space="preserve"> </w:t>
      </w:r>
      <w:r>
        <w:rPr>
          <w:u w:val="single"/>
        </w:rPr>
        <w:t xml:space="preserve">calculate</w:t>
      </w:r>
      <w:r>
        <w:rPr/>
        <w:t xml:space="preserve"> the fiscal growth factor </w:t>
      </w:r>
      <w:r>
        <w:t>((</w:t>
      </w:r>
      <w:r>
        <w:rPr>
          <w:strike/>
        </w:rPr>
        <w:t xml:space="preserve">and then project an expenditure limit</w:t>
      </w:r>
      <w:r>
        <w:t>))</w:t>
      </w:r>
      <w:r>
        <w:rPr/>
        <w:t xml:space="preserve"> for </w:t>
      </w:r>
      <w:r>
        <w:t>((</w:t>
      </w:r>
      <w:r>
        <w:rPr>
          <w:strike/>
        </w:rPr>
        <w:t xml:space="preserve">the next two</w:t>
      </w:r>
      <w:r>
        <w:t>))</w:t>
      </w:r>
      <w:r>
        <w:rPr/>
        <w:t xml:space="preserve"> </w:t>
      </w:r>
      <w:r>
        <w:rPr>
          <w:u w:val="single"/>
        </w:rPr>
        <w:t xml:space="preserve">each</w:t>
      </w:r>
      <w:r>
        <w:rPr/>
        <w:t xml:space="preserve"> fiscal </w:t>
      </w:r>
      <w:r>
        <w:t>((</w:t>
      </w:r>
      <w:r>
        <w:rPr>
          <w:strike/>
        </w:rPr>
        <w:t xml:space="preserve">years</w:t>
      </w:r>
      <w:r>
        <w:t>))</w:t>
      </w:r>
      <w:r>
        <w:rPr/>
        <w:t xml:space="preserve"> </w:t>
      </w:r>
      <w:r>
        <w:rPr>
          <w:u w:val="single"/>
        </w:rPr>
        <w:t xml:space="preserve">year of the current biennium and the ensuing biennium</w:t>
      </w:r>
      <w:r>
        <w:rPr/>
        <w:t xml:space="preserve">. </w:t>
      </w:r>
      <w:r>
        <w:t>((</w:t>
      </w:r>
      <w:r>
        <w:rPr>
          <w:strike/>
        </w:rPr>
        <w:t xml:space="preserve">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strike/>
        </w:rPr>
        <w:t xml:space="preserve">(7)</w:t>
      </w:r>
      <w:r>
        <w:t>))</w:t>
      </w:r>
      <w:r>
        <w:rPr/>
        <w:t xml:space="preserve"> </w:t>
      </w:r>
      <w:r>
        <w:rPr>
          <w:u w:val="single"/>
        </w:rPr>
        <w:t xml:space="preserve">(2) The definitions in this subsection apply throughout this chapter unless the context clearly requires otherwise.</w:t>
      </w:r>
    </w:p>
    <w:p>
      <w:pPr>
        <w:spacing w:before="0" w:after="0" w:line="408" w:lineRule="exact"/>
        <w:ind w:left="0" w:right="0" w:firstLine="576"/>
        <w:jc w:val="left"/>
      </w:pPr>
      <w:r>
        <w:rPr>
          <w:u w:val="single"/>
        </w:rPr>
        <w:t xml:space="preserve">(a)</w:t>
      </w:r>
      <w:r>
        <w:rPr/>
        <w:t xml:space="preserve"> "Fiscal growth factor" means the average growth in state personal income for the prior ten fiscal years.</w:t>
      </w:r>
    </w:p>
    <w:p>
      <w:pPr>
        <w:spacing w:before="0" w:after="0" w:line="408" w:lineRule="exact"/>
        <w:ind w:left="0" w:right="0" w:firstLine="576"/>
        <w:jc w:val="left"/>
      </w:pPr>
      <w:r>
        <w:t>((</w:t>
      </w:r>
      <w:r>
        <w:rPr>
          <w:strike/>
        </w:rPr>
        <w:t xml:space="preserve">(8)</w:t>
      </w:r>
      <w:r>
        <w:t>))</w:t>
      </w:r>
      <w:r>
        <w:rPr/>
        <w:t xml:space="preserve"> </w:t>
      </w:r>
      <w:r>
        <w:rPr>
          <w:u w:val="single"/>
        </w:rPr>
        <w:t xml:space="preserve">(b)</w:t>
      </w:r>
      <w:r>
        <w:rPr/>
        <w:t xml:space="preserve"> "General fund" means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w:t>
      </w:r>
      <w:r>
        <w:t>((</w:t>
      </w:r>
      <w:r>
        <w:rPr>
          <w:strike/>
        </w:rPr>
        <w:t xml:space="preserve">(a)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strike/>
        </w:rPr>
        <w:t xml:space="preserve">(b) The ballot title for any vote of the people required under this section must be substantially as follows:</w:t>
      </w:r>
    </w:p>
    <w:p>
      <w:pPr>
        <w:spacing w:before="120" w:after="0" w:line="408" w:lineRule="exact"/>
        <w:ind w:left="0" w:right="0" w:firstLine="576"/>
        <w:jc w:val="left"/>
      </w:pPr>
      <w:r>
        <w:rPr>
          <w:strike/>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strike/>
        </w:rPr>
        <w:t xml:space="preserve">(3)(a) The state expenditure limit may be exceeded upon declaration of an emergency for a period not to exceed twenty</w:t>
      </w:r>
      <w:r>
        <w:rPr/>
        <w:noBreakHyphen/>
      </w:r>
      <w:r>
        <w:rPr>
          <w:strike/>
        </w:rPr>
        <w:t xml:space="preserve">four months by a law approved by a two</w:t>
      </w:r>
      <w:r>
        <w:rPr/>
        <w:noBreakHyphen/>
      </w:r>
      <w:r>
        <w:rPr>
          <w:strike/>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strike/>
        </w:rPr>
        <w:t xml:space="preserve">four months following the declaration of the emergency and only for the purposes contained in the emergency declaration.</w:t>
      </w:r>
    </w:p>
    <w:p>
      <w:pPr>
        <w:spacing w:before="0" w:after="0" w:line="408" w:lineRule="exact"/>
        <w:ind w:left="0" w:right="0" w:firstLine="576"/>
        <w:jc w:val="left"/>
      </w:pPr>
      <w:r>
        <w:rPr>
          <w:strike/>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strike/>
        </w:rPr>
        <w:t xml:space="preserve">(c)</w:t>
      </w:r>
      <w:r>
        <w:t>))</w:t>
      </w:r>
      <w:r>
        <w:rPr/>
        <w:t xml:space="preserve">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t>((</w:t>
      </w:r>
      <w:r>
        <w:rPr>
          <w:strike/>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must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 to, or an expenditure from, the connecting Washington account established in RCW 46.68.395.</w:t>
      </w:r>
    </w:p>
    <w:p>
      <w:pPr>
        <w:spacing w:before="0" w:after="0" w:line="408" w:lineRule="exact"/>
        <w:ind w:left="0" w:right="0" w:firstLine="576"/>
        <w:jc w:val="left"/>
      </w:pPr>
      <w:r>
        <w:rPr>
          <w:strike/>
        </w:rPr>
        <w:t xml:space="preserve">(5) If the cost of any state program or function and the ongoing revenue necessary to fund the program or function are shifted to the state general fund on or after January 1, 2007, the state expenditure limit committee, acting pursuant to RCW 43.135.025(5), must increase the state expenditure limit to reflect the shift unless the shifted revenue had previously been shifted from the general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At its November meeting in each odd-numbered year, the economic and revenue forecast council shall review each fund and account in the state treasury in which the biennial omnibus appropriations act appropriated fifty million dollars or more and shall make recommendations to the legislature in the form of agency request legislation on such funds and accounts that should be added to the definition of related funds in RCW 43.88.055(2) and 43.88.030(5)(c).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w:t>
      </w:r>
      <w:r>
        <w:rPr>
          <w:u w:val="single"/>
        </w:rPr>
        <w:t xml:space="preserve">and 43.88.030</w:t>
      </w:r>
      <w:r>
        <w:rPr/>
        <w:t xml:space="preserve">, the state budget outlook work group shall prepare, subject to the approval of the economic and revenue forecast council under RCW 82.33.010, an official state budget outlook for state revenues and expenditures for the general fund and related funds. </w:t>
      </w:r>
      <w:r>
        <w:t>((</w:t>
      </w:r>
      <w:r>
        <w:rPr>
          <w:strike/>
        </w:rPr>
        <w:t xml:space="preserve">In odd-numbered years, the period covered by the November state budget outlook shall be the current fiscal biennium and the next ensuing fiscal biennium. In even-numbered years, the period covered by the November state budget outlook shall be the next two ensuing fiscal biennia.</w:t>
      </w:r>
      <w:r>
        <w:t>))</w:t>
      </w:r>
      <w:r>
        <w:rPr/>
        <w:t xml:space="preserve">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135</w:t>
      </w:r>
      <w:r>
        <w:rPr/>
        <w:t xml:space="preserve">.</w:t>
      </w:r>
      <w:r>
        <w:t xml:space="preserve">010</w:t>
      </w:r>
      <w:r>
        <w:rPr/>
        <w:t xml:space="preserve"> (Findings</w:t>
      </w:r>
      <w:r>
        <w:rPr>
          <w:rFonts w:ascii="Times New Roman" w:hAnsi="Times New Roman"/>
        </w:rPr>
        <w:t xml:space="preserve">—</w:t>
      </w:r>
      <w:r>
        <w:rPr/>
        <w:t xml:space="preserve">Intent) and 2015 3rd sp.s. c 29 s 2, 2005 c 72 s 3, 1994 c 2 s 1 (Initiative Measure No. 601, approved November 2, 1993), &amp; 1980 c 1 s 1 (Initiative Measure No. 62, approved November 6, 1979);</w:t>
      </w:r>
    </w:p>
    <w:p>
      <w:pPr>
        <w:spacing w:before="0" w:after="0" w:line="408" w:lineRule="exact"/>
        <w:ind w:left="0" w:right="0" w:firstLine="576"/>
        <w:jc w:val="left"/>
      </w:pPr>
      <w:r>
        <w:t>(2)</w:t>
      </w:r>
      <w:r>
        <w:rPr/>
        <w:t xml:space="preserve">RCW </w:t>
      </w:r>
      <w:r>
        <w:t xml:space="preserve">43</w:t>
      </w:r>
      <w:r>
        <w:rPr/>
        <w:t xml:space="preserve">.</w:t>
      </w:r>
      <w:r>
        <w:t xml:space="preserve">135</w:t>
      </w:r>
      <w:r>
        <w:rPr/>
        <w:t xml:space="preserve">.</w:t>
      </w:r>
      <w:r>
        <w:t xml:space="preserve">0341</w:t>
      </w:r>
      <w:r>
        <w:rPr/>
        <w:t xml:space="preserve"> (Child and family reinvestment account transfers) and 2012 c 204 s 3;</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0342</w:t>
      </w:r>
      <w:r>
        <w:rPr/>
        <w:t xml:space="preserve"> (Dedication of premium taxes under RCW 48.14.0201 or 48.14.020) and 2013 2nd sp.s. c 6 s 4;</w:t>
      </w:r>
    </w:p>
    <w:p>
      <w:pPr>
        <w:spacing w:before="0" w:after="0" w:line="408" w:lineRule="exact"/>
        <w:ind w:left="0" w:right="0" w:firstLine="576"/>
        <w:jc w:val="left"/>
      </w:pPr>
      <w:r>
        <w:t>(4)</w:t>
      </w:r>
      <w:r>
        <w:rPr/>
        <w:t xml:space="preserve">RCW </w:t>
      </w:r>
      <w:r>
        <w:t xml:space="preserve">43</w:t>
      </w:r>
      <w:r>
        <w:rPr/>
        <w:t xml:space="preserve">.</w:t>
      </w:r>
      <w:r>
        <w:t xml:space="preserve">135</w:t>
      </w:r>
      <w:r>
        <w:rPr/>
        <w:t xml:space="preserve">.</w:t>
      </w:r>
      <w:r>
        <w:t xml:space="preserve">0343</w:t>
      </w:r>
      <w:r>
        <w:rPr/>
        <w:t xml:space="preserve"> (Liquefied natural gas sales tax revenue transfers) and 2014 c 216 s 407;</w:t>
      </w:r>
    </w:p>
    <w:p>
      <w:pPr>
        <w:spacing w:before="0" w:after="0" w:line="408" w:lineRule="exact"/>
        <w:ind w:left="0" w:right="0" w:firstLine="576"/>
        <w:jc w:val="left"/>
      </w:pPr>
      <w:r>
        <w:t>(5)</w:t>
      </w:r>
      <w:r>
        <w:rPr/>
        <w:t xml:space="preserve">RCW </w:t>
      </w:r>
      <w:r>
        <w:t xml:space="preserve">43</w:t>
      </w:r>
      <w:r>
        <w:rPr/>
        <w:t xml:space="preserve">.</w:t>
      </w:r>
      <w:r>
        <w:t xml:space="preserve">135</w:t>
      </w:r>
      <w:r>
        <w:rPr/>
        <w:t xml:space="preserve">.</w:t>
      </w:r>
      <w:r>
        <w:t xml:space="preserve">0351</w:t>
      </w:r>
      <w:r>
        <w:rPr/>
        <w:t xml:space="preserve"> (Reinvesting in youth account transfers) and 2006 c 304 s 5;</w:t>
      </w:r>
    </w:p>
    <w:p>
      <w:pPr>
        <w:spacing w:before="0" w:after="0" w:line="408" w:lineRule="exact"/>
        <w:ind w:left="0" w:right="0" w:firstLine="576"/>
        <w:jc w:val="left"/>
      </w:pPr>
      <w:r>
        <w:t>(6)</w:t>
      </w:r>
      <w:r>
        <w:rPr/>
        <w:t xml:space="preserve">RCW </w:t>
      </w:r>
      <w:r>
        <w:t xml:space="preserve">43</w:t>
      </w:r>
      <w:r>
        <w:rPr/>
        <w:t xml:space="preserve">.</w:t>
      </w:r>
      <w:r>
        <w:t xml:space="preserve">135</w:t>
      </w:r>
      <w:r>
        <w:rPr/>
        <w:t xml:space="preserve">.</w:t>
      </w:r>
      <w:r>
        <w:t xml:space="preserve">080</w:t>
      </w:r>
      <w:r>
        <w:rPr/>
        <w:t xml:space="preserve"> (Reenactment and reaffirmation of Initiative Measure No. 601</w:t>
      </w:r>
      <w:r>
        <w:rPr>
          <w:rFonts w:ascii="Times New Roman" w:hAnsi="Times New Roman"/>
        </w:rPr>
        <w:t xml:space="preserve">—</w:t>
      </w:r>
      <w:r>
        <w:rPr/>
        <w:t xml:space="preserve">Continued limitations</w:t>
      </w:r>
      <w:r>
        <w:rPr>
          <w:rFonts w:ascii="Times New Roman" w:hAnsi="Times New Roman"/>
        </w:rPr>
        <w:t xml:space="preserve">—</w:t>
      </w:r>
      <w:r>
        <w:rPr/>
        <w:t xml:space="preserve">Exceptions) and 1998 c 321 s 14 (Referendum Bill No. 49, approved November 3, 1998); and</w:t>
      </w:r>
    </w:p>
    <w:p>
      <w:pPr>
        <w:spacing w:before="0" w:after="0" w:line="408" w:lineRule="exact"/>
        <w:ind w:left="0" w:right="0" w:firstLine="576"/>
        <w:jc w:val="left"/>
      </w:pPr>
      <w:r>
        <w:t>(7)</w:t>
      </w:r>
      <w:r>
        <w:rPr/>
        <w:t xml:space="preserve">RCW </w:t>
      </w:r>
      <w:r>
        <w:t xml:space="preserve">43</w:t>
      </w:r>
      <w:r>
        <w:rPr/>
        <w:t xml:space="preserve">.</w:t>
      </w:r>
      <w:r>
        <w:t xml:space="preserve">135</w:t>
      </w:r>
      <w:r>
        <w:rPr/>
        <w:t xml:space="preserve">.</w:t>
      </w:r>
      <w:r>
        <w:t xml:space="preserve">904</w:t>
      </w:r>
      <w:r>
        <w:rPr/>
        <w:t xml:space="preserve"> (Effective dates</w:t>
      </w:r>
      <w:r>
        <w:rPr>
          <w:rFonts w:ascii="Times New Roman" w:hAnsi="Times New Roman"/>
        </w:rPr>
        <w:t xml:space="preserve">—</w:t>
      </w:r>
      <w:r>
        <w:rPr/>
        <w:t xml:space="preserve">1994 c 2) and 1994 c 2 s 14 (Initiative Measure No. 601, approved November 2,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1dc4587ce03f4e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a275900fd943c8" /><Relationship Type="http://schemas.openxmlformats.org/officeDocument/2006/relationships/footer" Target="/word/footer1.xml" Id="R1dc4587ce03f4e12" /></Relationships>
</file>