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b856d11bf42a3" /></Relationships>
</file>

<file path=word/document.xml><?xml version="1.0" encoding="utf-8"?>
<w:document xmlns:w="http://schemas.openxmlformats.org/wordprocessingml/2006/main">
  <w:body>
    <w:p>
      <w:r>
        <w:t>S-5972.1</w:t>
      </w:r>
    </w:p>
    <w:p>
      <w:pPr>
        <w:jc w:val="center"/>
      </w:pPr>
      <w:r>
        <w:t>_______________________________________________</w:t>
      </w:r>
    </w:p>
    <w:p/>
    <w:p>
      <w:pPr>
        <w:jc w:val="center"/>
      </w:pPr>
      <w:r>
        <w:rPr>
          <w:b/>
        </w:rPr>
        <w:t>SUBSTITUTE SENATE JOINT RESOLUTION 8211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Braun, Keiser, Palumbo, Schoesler, Conway, and Van De Wege)</w:t>
      </w:r>
    </w:p>
    <w:p/>
    <w:p>
      <w:r>
        <w:rPr>
          <w:t xml:space="preserve">READ FIRST TIME 02/11/20.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section or article of this Constitution, revenues from premiums, contributions, or other charges imposed on compensation for employment for the purpose of creating an actuarially sound system for the provision of future benefits or services only to payers must be deposited into a special fund in the state treasury to be used exclusively for the purposes for which it was imposed. The provisions of this section do not apply to premiums, contributions, or other charges imposed by law for deposit into unemployment insurance trust funds, industrial insurance trust funds, or other funds as directed by federal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bf7210b717641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SSJR 8211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b009052e641f5" /><Relationship Type="http://schemas.openxmlformats.org/officeDocument/2006/relationships/footer" Target="/word/footer1.xml" Id="Rfbf7210b71764152" /></Relationships>
</file>