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F6357" w:rsidP="0072541D">
          <w:pPr>
            <w:pStyle w:val="AmendDocName"/>
          </w:pPr>
          <w:customXml w:element="BillDocName">
            <w:r>
              <w:t xml:space="preserve">2667</w:t>
            </w:r>
          </w:customXml>
          <w:customXml w:element="AmendType">
            <w:r>
              <w:t xml:space="preserve"> AMH</w:t>
            </w:r>
          </w:customXml>
          <w:customXml w:element="SponsorAcronym">
            <w:r>
              <w:t xml:space="preserve"> CHAB</w:t>
            </w:r>
          </w:customXml>
          <w:customXml w:element="DrafterAcronym">
            <w:r>
              <w:t xml:space="preserve"> RYAN</w:t>
            </w:r>
          </w:customXml>
          <w:customXml w:element="DraftNumber">
            <w:r>
              <w:t xml:space="preserve"> 012</w:t>
            </w:r>
          </w:customXml>
        </w:p>
      </w:customXml>
      <w:customXml w:element="Heading">
        <w:p w:rsidR="00DF5D0E" w:rsidRDefault="00FF6357">
          <w:customXml w:element="ReferenceNumber">
            <w:r w:rsidR="00CB6FE7">
              <w:rPr>
                <w:b/>
                <w:u w:val="single"/>
              </w:rPr>
              <w:t>HB 2667</w:t>
            </w:r>
            <w:r w:rsidR="00DE256E">
              <w:t xml:space="preserve"> - </w:t>
            </w:r>
          </w:customXml>
          <w:customXml w:element="Floor">
            <w:r w:rsidR="00CB6FE7">
              <w:t>H AMD</w:t>
            </w:r>
          </w:customXml>
          <w:customXml w:element="AmendNumber">
            <w:r>
              <w:rPr>
                <w:b/>
              </w:rPr>
              <w:t xml:space="preserve"> 1032</w:t>
            </w:r>
          </w:customXml>
        </w:p>
        <w:p w:rsidR="00DF5D0E" w:rsidRDefault="00FF6357" w:rsidP="00605C39">
          <w:pPr>
            <w:ind w:firstLine="576"/>
          </w:pPr>
          <w:customXml w:element="Sponsors">
            <w:r>
              <w:t xml:space="preserve">By Representative Chandler</w:t>
            </w:r>
          </w:customXml>
        </w:p>
        <w:p w:rsidR="00DF5D0E" w:rsidRDefault="00FF6357" w:rsidP="00846034">
          <w:pPr>
            <w:spacing w:line="408" w:lineRule="exact"/>
            <w:jc w:val="right"/>
            <w:rPr>
              <w:b/>
              <w:bCs/>
            </w:rPr>
          </w:pPr>
          <w:customXml w:element="FloorAction">
            <w:r>
              <w:t xml:space="preserve">ADOPTED 2/10/2010</w:t>
            </w:r>
          </w:customXml>
        </w:p>
      </w:customXml>
      <w:permStart w:id="0" w:edGrp="everyone" w:displacedByCustomXml="next"/>
      <w:customXml w:element="Page">
        <w:p w:rsidR="00CB6FE7" w:rsidRDefault="00FF635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6FE7">
            <w:t xml:space="preserve">On page </w:t>
          </w:r>
          <w:r w:rsidR="00833317">
            <w:t>3, line 22, after "</w:t>
          </w:r>
          <w:r w:rsidR="00833317" w:rsidRPr="00833317">
            <w:rPr>
              <w:u w:val="single"/>
            </w:rPr>
            <w:t>by which a</w:t>
          </w:r>
          <w:r w:rsidR="00833317">
            <w:t>" strike "</w:t>
          </w:r>
          <w:r w:rsidR="00833317" w:rsidRPr="00833317">
            <w:rPr>
              <w:u w:val="single"/>
            </w:rPr>
            <w:t>dedicated</w:t>
          </w:r>
          <w:r w:rsidR="00C71D30">
            <w:rPr>
              <w:u w:val="single"/>
            </w:rPr>
            <w:t xml:space="preserve"> fire mobilization radio frequency is made available during the</w:t>
          </w:r>
          <w:r w:rsidR="00833317">
            <w:t>" and insert "</w:t>
          </w:r>
          <w:r w:rsidR="00C71D30">
            <w:rPr>
              <w:u w:val="single"/>
            </w:rPr>
            <w:t>local fire mobilization radio frequency, consistent with RCW 43.43.963, is identified and made available during the initial</w:t>
          </w:r>
          <w:r w:rsidR="00833317">
            <w:t>"</w:t>
          </w:r>
        </w:p>
        <w:p w:rsidR="00833317" w:rsidRDefault="00833317" w:rsidP="00833317">
          <w:pPr>
            <w:pStyle w:val="RCWSLText"/>
          </w:pPr>
        </w:p>
        <w:p w:rsidR="00833317" w:rsidRDefault="00C71D30" w:rsidP="00833317">
          <w:pPr>
            <w:pStyle w:val="RCWSLText"/>
          </w:pPr>
          <w:r>
            <w:tab/>
            <w:t>On page 3, line 25</w:t>
          </w:r>
          <w:r w:rsidR="00833317">
            <w:t>, after "</w:t>
          </w:r>
          <w:r w:rsidRPr="00C71D30">
            <w:rPr>
              <w:u w:val="single"/>
            </w:rPr>
            <w:t>response.</w:t>
          </w:r>
          <w:r w:rsidR="00833317">
            <w:t xml:space="preserve">" insert </w:t>
          </w:r>
          <w:r>
            <w:t>"</w:t>
          </w:r>
          <w:r>
            <w:rPr>
              <w:u w:val="single"/>
            </w:rPr>
            <w:t>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r w:rsidR="00833317">
            <w:t>"</w:t>
          </w:r>
        </w:p>
        <w:p w:rsidR="00C71D30" w:rsidRDefault="00C71D30" w:rsidP="00833317">
          <w:pPr>
            <w:pStyle w:val="RCWSLText"/>
          </w:pPr>
        </w:p>
        <w:p w:rsidR="00C71D30" w:rsidRDefault="00C71D30" w:rsidP="00833317">
          <w:pPr>
            <w:pStyle w:val="RCWSLText"/>
          </w:pPr>
          <w:r>
            <w:tab/>
            <w:t>On page 5, line 4, after "</w:t>
          </w:r>
          <w:r w:rsidRPr="00C71D30">
            <w:rPr>
              <w:u w:val="single"/>
            </w:rPr>
            <w:t>which a</w:t>
          </w:r>
          <w:r>
            <w:t>" strike "</w:t>
          </w:r>
          <w:r w:rsidRPr="00833317">
            <w:rPr>
              <w:u w:val="single"/>
            </w:rPr>
            <w:t>dedicated</w:t>
          </w:r>
          <w:r>
            <w:rPr>
              <w:u w:val="single"/>
            </w:rPr>
            <w:t xml:space="preserve"> fire mobilization radio frequency is made available during the</w:t>
          </w:r>
          <w:r w:rsidRPr="00C71D30">
            <w:t>" and insert "</w:t>
          </w:r>
          <w:r>
            <w:rPr>
              <w:u w:val="single"/>
            </w:rPr>
            <w:t>local fire mobilization radio frequency, consistent with RCW 76.04.015, is identified and made available during the</w:t>
          </w:r>
          <w:r w:rsidR="008510EB">
            <w:rPr>
              <w:u w:val="single"/>
            </w:rPr>
            <w:t xml:space="preserve"> initial</w:t>
          </w:r>
          <w:r w:rsidRPr="00C71D30">
            <w:t>"</w:t>
          </w:r>
        </w:p>
        <w:p w:rsidR="00C71D30" w:rsidRDefault="00C71D30" w:rsidP="00833317">
          <w:pPr>
            <w:pStyle w:val="RCWSLText"/>
          </w:pPr>
        </w:p>
        <w:p w:rsidR="00DF5D0E" w:rsidRPr="00523C5A" w:rsidRDefault="00C71D30" w:rsidP="001807D1">
          <w:pPr>
            <w:pStyle w:val="RCWSLText"/>
          </w:pPr>
          <w:r>
            <w:tab/>
            <w:t>On page 5, line 7, after "</w:t>
          </w:r>
          <w:r w:rsidRPr="00C71D30">
            <w:rPr>
              <w:u w:val="single"/>
            </w:rPr>
            <w:t>response.</w:t>
          </w:r>
          <w:r>
            <w:t>" insert "</w:t>
          </w:r>
          <w:r>
            <w:rPr>
              <w:u w:val="single"/>
            </w:rPr>
            <w:t>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r>
            <w:t>"</w:t>
          </w:r>
        </w:p>
      </w:customXml>
      <w:customXml w:element="Effect">
        <w:p w:rsidR="00ED2EEB" w:rsidRDefault="00DE256E" w:rsidP="00CB6FE7">
          <w:pPr>
            <w:pStyle w:val="Effect"/>
            <w:suppressLineNumbers/>
          </w:pPr>
          <w:r>
            <w:tab/>
          </w:r>
        </w:p>
        <w:p w:rsidR="001807D1" w:rsidRDefault="00ED2EEB" w:rsidP="001807D1">
          <w:pPr>
            <w:pStyle w:val="Effect"/>
            <w:suppressLineNumbers/>
          </w:pPr>
          <w:r>
            <w:tab/>
          </w:r>
          <w:r w:rsidR="00DE256E">
            <w:tab/>
          </w:r>
          <w:r w:rsidR="00DE256E" w:rsidRPr="00CB6FE7">
            <w:rPr>
              <w:b/>
              <w:u w:val="single"/>
            </w:rPr>
            <w:t>EFFECT:</w:t>
          </w:r>
          <w:r w:rsidR="00DE256E">
            <w:t>   </w:t>
          </w:r>
          <w:r w:rsidR="00C71D30">
            <w:t xml:space="preserve">Clarifies that a </w:t>
          </w:r>
          <w:r w:rsidR="007A573E">
            <w:t>local</w:t>
          </w:r>
          <w:r w:rsidR="00C71D30">
            <w:t xml:space="preserve"> radio frequency or frequencies for initial response will be identified for forest fires that cross jurisdictional lines within each regional fire service plan.</w:t>
          </w:r>
          <w:r w:rsidR="007A573E">
            <w:t xml:space="preserve">  Clarifies that other radio frequencies may be used if the forest fire escalates beyond the capability of the local radio frequency.</w:t>
          </w:r>
          <w:r w:rsidR="001807D1">
            <w:tab/>
          </w:r>
        </w:p>
        <w:p w:rsidR="00DF5D0E" w:rsidRDefault="001807D1" w:rsidP="001807D1">
          <w:pPr>
            <w:pStyle w:val="Effect"/>
            <w:suppressLineNumbers/>
          </w:pPr>
          <w:r w:rsidRPr="001807D1">
            <w:rPr>
              <w:b/>
            </w:rPr>
            <w:tab/>
          </w:r>
          <w:r w:rsidRPr="001807D1">
            <w:rPr>
              <w:b/>
            </w:rPr>
            <w:tab/>
          </w:r>
          <w:r w:rsidRPr="001807D1">
            <w:rPr>
              <w:b/>
            </w:rPr>
            <w:tab/>
          </w:r>
          <w:r w:rsidRPr="001807D1">
            <w:rPr>
              <w:b/>
            </w:rPr>
            <w:tab/>
          </w:r>
          <w:r w:rsidRPr="001807D1">
            <w:rPr>
              <w:b/>
            </w:rPr>
            <w:tab/>
          </w:r>
          <w:r w:rsidRPr="001807D1">
            <w:rPr>
              <w:b/>
            </w:rPr>
            <w:tab/>
          </w:r>
          <w:permEnd w:id="0"/>
          <w:r w:rsidR="00DE256E">
            <w:rPr>
              <w:b/>
            </w:rPr>
            <w:t>--- END ---</w:t>
          </w:r>
        </w:p>
      </w:customXml>
      <w:p w:rsidR="00DF5D0E" w:rsidRDefault="00FF6357" w:rsidP="00CB6FE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EB" w:rsidRDefault="008510EB" w:rsidP="00DF5D0E">
      <w:r>
        <w:separator/>
      </w:r>
    </w:p>
  </w:endnote>
  <w:endnote w:type="continuationSeparator" w:id="0">
    <w:p w:rsidR="008510EB" w:rsidRDefault="008510E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D1" w:rsidRDefault="00180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EB" w:rsidRDefault="00FF6357">
    <w:pPr>
      <w:pStyle w:val="AmendDraftFooter"/>
    </w:pPr>
    <w:fldSimple w:instr=" TITLE   \* MERGEFORMAT ">
      <w:r w:rsidR="00DA1B4F">
        <w:t>2667 AMH CHAB RYAN 012</w:t>
      </w:r>
    </w:fldSimple>
    <w:r w:rsidR="008510EB">
      <w:tab/>
    </w:r>
    <w:fldSimple w:instr=" PAGE  \* Arabic  \* MERGEFORMAT ">
      <w:r w:rsidR="001807D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EB" w:rsidRDefault="00FF6357">
    <w:pPr>
      <w:pStyle w:val="AmendDraftFooter"/>
    </w:pPr>
    <w:fldSimple w:instr=" TITLE   \* MERGEFORMAT ">
      <w:r w:rsidR="00DA1B4F">
        <w:t>2667 AMH CHAB RYAN 012</w:t>
      </w:r>
    </w:fldSimple>
    <w:r w:rsidR="008510EB">
      <w:tab/>
    </w:r>
    <w:fldSimple w:instr=" PAGE  \* Arabic  \* MERGEFORMAT ">
      <w:r w:rsidR="00DA1B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EB" w:rsidRDefault="008510EB" w:rsidP="00DF5D0E">
      <w:r>
        <w:separator/>
      </w:r>
    </w:p>
  </w:footnote>
  <w:footnote w:type="continuationSeparator" w:id="0">
    <w:p w:rsidR="008510EB" w:rsidRDefault="008510E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D1" w:rsidRDefault="00180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EB" w:rsidRDefault="00FF635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510EB" w:rsidRDefault="008510EB">
                <w:pPr>
                  <w:pStyle w:val="RCWSLText"/>
                  <w:jc w:val="right"/>
                </w:pPr>
                <w:r>
                  <w:t>1</w:t>
                </w:r>
              </w:p>
              <w:p w:rsidR="008510EB" w:rsidRDefault="008510EB">
                <w:pPr>
                  <w:pStyle w:val="RCWSLText"/>
                  <w:jc w:val="right"/>
                </w:pPr>
                <w:r>
                  <w:t>2</w:t>
                </w:r>
              </w:p>
              <w:p w:rsidR="008510EB" w:rsidRDefault="008510EB">
                <w:pPr>
                  <w:pStyle w:val="RCWSLText"/>
                  <w:jc w:val="right"/>
                </w:pPr>
                <w:r>
                  <w:t>3</w:t>
                </w:r>
              </w:p>
              <w:p w:rsidR="008510EB" w:rsidRDefault="008510EB">
                <w:pPr>
                  <w:pStyle w:val="RCWSLText"/>
                  <w:jc w:val="right"/>
                </w:pPr>
                <w:r>
                  <w:t>4</w:t>
                </w:r>
              </w:p>
              <w:p w:rsidR="008510EB" w:rsidRDefault="008510EB">
                <w:pPr>
                  <w:pStyle w:val="RCWSLText"/>
                  <w:jc w:val="right"/>
                </w:pPr>
                <w:r>
                  <w:t>5</w:t>
                </w:r>
              </w:p>
              <w:p w:rsidR="008510EB" w:rsidRDefault="008510EB">
                <w:pPr>
                  <w:pStyle w:val="RCWSLText"/>
                  <w:jc w:val="right"/>
                </w:pPr>
                <w:r>
                  <w:t>6</w:t>
                </w:r>
              </w:p>
              <w:p w:rsidR="008510EB" w:rsidRDefault="008510EB">
                <w:pPr>
                  <w:pStyle w:val="RCWSLText"/>
                  <w:jc w:val="right"/>
                </w:pPr>
                <w:r>
                  <w:t>7</w:t>
                </w:r>
              </w:p>
              <w:p w:rsidR="008510EB" w:rsidRDefault="008510EB">
                <w:pPr>
                  <w:pStyle w:val="RCWSLText"/>
                  <w:jc w:val="right"/>
                </w:pPr>
                <w:r>
                  <w:t>8</w:t>
                </w:r>
              </w:p>
              <w:p w:rsidR="008510EB" w:rsidRDefault="008510EB">
                <w:pPr>
                  <w:pStyle w:val="RCWSLText"/>
                  <w:jc w:val="right"/>
                </w:pPr>
                <w:r>
                  <w:t>9</w:t>
                </w:r>
              </w:p>
              <w:p w:rsidR="008510EB" w:rsidRDefault="008510EB">
                <w:pPr>
                  <w:pStyle w:val="RCWSLText"/>
                  <w:jc w:val="right"/>
                </w:pPr>
                <w:r>
                  <w:t>10</w:t>
                </w:r>
              </w:p>
              <w:p w:rsidR="008510EB" w:rsidRDefault="008510EB">
                <w:pPr>
                  <w:pStyle w:val="RCWSLText"/>
                  <w:jc w:val="right"/>
                </w:pPr>
                <w:r>
                  <w:t>11</w:t>
                </w:r>
              </w:p>
              <w:p w:rsidR="008510EB" w:rsidRDefault="008510EB">
                <w:pPr>
                  <w:pStyle w:val="RCWSLText"/>
                  <w:jc w:val="right"/>
                </w:pPr>
                <w:r>
                  <w:t>12</w:t>
                </w:r>
              </w:p>
              <w:p w:rsidR="008510EB" w:rsidRDefault="008510EB">
                <w:pPr>
                  <w:pStyle w:val="RCWSLText"/>
                  <w:jc w:val="right"/>
                </w:pPr>
                <w:r>
                  <w:t>13</w:t>
                </w:r>
              </w:p>
              <w:p w:rsidR="008510EB" w:rsidRDefault="008510EB">
                <w:pPr>
                  <w:pStyle w:val="RCWSLText"/>
                  <w:jc w:val="right"/>
                </w:pPr>
                <w:r>
                  <w:t>14</w:t>
                </w:r>
              </w:p>
              <w:p w:rsidR="008510EB" w:rsidRDefault="008510EB">
                <w:pPr>
                  <w:pStyle w:val="RCWSLText"/>
                  <w:jc w:val="right"/>
                </w:pPr>
                <w:r>
                  <w:t>15</w:t>
                </w:r>
              </w:p>
              <w:p w:rsidR="008510EB" w:rsidRDefault="008510EB">
                <w:pPr>
                  <w:pStyle w:val="RCWSLText"/>
                  <w:jc w:val="right"/>
                </w:pPr>
                <w:r>
                  <w:t>16</w:t>
                </w:r>
              </w:p>
              <w:p w:rsidR="008510EB" w:rsidRDefault="008510EB">
                <w:pPr>
                  <w:pStyle w:val="RCWSLText"/>
                  <w:jc w:val="right"/>
                </w:pPr>
                <w:r>
                  <w:t>17</w:t>
                </w:r>
              </w:p>
              <w:p w:rsidR="008510EB" w:rsidRDefault="008510EB">
                <w:pPr>
                  <w:pStyle w:val="RCWSLText"/>
                  <w:jc w:val="right"/>
                </w:pPr>
                <w:r>
                  <w:t>18</w:t>
                </w:r>
              </w:p>
              <w:p w:rsidR="008510EB" w:rsidRDefault="008510EB">
                <w:pPr>
                  <w:pStyle w:val="RCWSLText"/>
                  <w:jc w:val="right"/>
                </w:pPr>
                <w:r>
                  <w:t>19</w:t>
                </w:r>
              </w:p>
              <w:p w:rsidR="008510EB" w:rsidRDefault="008510EB">
                <w:pPr>
                  <w:pStyle w:val="RCWSLText"/>
                  <w:jc w:val="right"/>
                </w:pPr>
                <w:r>
                  <w:t>20</w:t>
                </w:r>
              </w:p>
              <w:p w:rsidR="008510EB" w:rsidRDefault="008510EB">
                <w:pPr>
                  <w:pStyle w:val="RCWSLText"/>
                  <w:jc w:val="right"/>
                </w:pPr>
                <w:r>
                  <w:t>21</w:t>
                </w:r>
              </w:p>
              <w:p w:rsidR="008510EB" w:rsidRDefault="008510EB">
                <w:pPr>
                  <w:pStyle w:val="RCWSLText"/>
                  <w:jc w:val="right"/>
                </w:pPr>
                <w:r>
                  <w:t>22</w:t>
                </w:r>
              </w:p>
              <w:p w:rsidR="008510EB" w:rsidRDefault="008510EB">
                <w:pPr>
                  <w:pStyle w:val="RCWSLText"/>
                  <w:jc w:val="right"/>
                </w:pPr>
                <w:r>
                  <w:t>23</w:t>
                </w:r>
              </w:p>
              <w:p w:rsidR="008510EB" w:rsidRDefault="008510EB">
                <w:pPr>
                  <w:pStyle w:val="RCWSLText"/>
                  <w:jc w:val="right"/>
                </w:pPr>
                <w:r>
                  <w:t>24</w:t>
                </w:r>
              </w:p>
              <w:p w:rsidR="008510EB" w:rsidRDefault="008510EB">
                <w:pPr>
                  <w:pStyle w:val="RCWSLText"/>
                  <w:jc w:val="right"/>
                </w:pPr>
                <w:r>
                  <w:t>25</w:t>
                </w:r>
              </w:p>
              <w:p w:rsidR="008510EB" w:rsidRDefault="008510EB">
                <w:pPr>
                  <w:pStyle w:val="RCWSLText"/>
                  <w:jc w:val="right"/>
                </w:pPr>
                <w:r>
                  <w:t>26</w:t>
                </w:r>
              </w:p>
              <w:p w:rsidR="008510EB" w:rsidRDefault="008510EB">
                <w:pPr>
                  <w:pStyle w:val="RCWSLText"/>
                  <w:jc w:val="right"/>
                </w:pPr>
                <w:r>
                  <w:t>27</w:t>
                </w:r>
              </w:p>
              <w:p w:rsidR="008510EB" w:rsidRDefault="008510EB">
                <w:pPr>
                  <w:pStyle w:val="RCWSLText"/>
                  <w:jc w:val="right"/>
                </w:pPr>
                <w:r>
                  <w:t>28</w:t>
                </w:r>
              </w:p>
              <w:p w:rsidR="008510EB" w:rsidRDefault="008510EB">
                <w:pPr>
                  <w:pStyle w:val="RCWSLText"/>
                  <w:jc w:val="right"/>
                </w:pPr>
                <w:r>
                  <w:t>29</w:t>
                </w:r>
              </w:p>
              <w:p w:rsidR="008510EB" w:rsidRDefault="008510EB">
                <w:pPr>
                  <w:pStyle w:val="RCWSLText"/>
                  <w:jc w:val="right"/>
                </w:pPr>
                <w:r>
                  <w:t>30</w:t>
                </w:r>
              </w:p>
              <w:p w:rsidR="008510EB" w:rsidRDefault="008510EB">
                <w:pPr>
                  <w:pStyle w:val="RCWSLText"/>
                  <w:jc w:val="right"/>
                </w:pPr>
                <w:r>
                  <w:t>31</w:t>
                </w:r>
              </w:p>
              <w:p w:rsidR="008510EB" w:rsidRDefault="008510EB">
                <w:pPr>
                  <w:pStyle w:val="RCWSLText"/>
                  <w:jc w:val="right"/>
                </w:pPr>
                <w:r>
                  <w:t>32</w:t>
                </w:r>
              </w:p>
              <w:p w:rsidR="008510EB" w:rsidRDefault="008510EB">
                <w:pPr>
                  <w:pStyle w:val="RCWSLText"/>
                  <w:jc w:val="right"/>
                </w:pPr>
                <w:r>
                  <w:t>33</w:t>
                </w:r>
              </w:p>
              <w:p w:rsidR="008510EB" w:rsidRDefault="008510E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EB" w:rsidRDefault="00FF635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510EB" w:rsidRDefault="008510EB" w:rsidP="00605C39">
                <w:pPr>
                  <w:pStyle w:val="RCWSLText"/>
                  <w:spacing w:before="2888"/>
                  <w:jc w:val="right"/>
                </w:pPr>
                <w:r>
                  <w:t>1</w:t>
                </w:r>
              </w:p>
              <w:p w:rsidR="008510EB" w:rsidRDefault="008510EB">
                <w:pPr>
                  <w:pStyle w:val="RCWSLText"/>
                  <w:jc w:val="right"/>
                </w:pPr>
                <w:r>
                  <w:t>2</w:t>
                </w:r>
              </w:p>
              <w:p w:rsidR="008510EB" w:rsidRDefault="008510EB">
                <w:pPr>
                  <w:pStyle w:val="RCWSLText"/>
                  <w:jc w:val="right"/>
                </w:pPr>
                <w:r>
                  <w:t>3</w:t>
                </w:r>
              </w:p>
              <w:p w:rsidR="008510EB" w:rsidRDefault="008510EB">
                <w:pPr>
                  <w:pStyle w:val="RCWSLText"/>
                  <w:jc w:val="right"/>
                </w:pPr>
                <w:r>
                  <w:t>4</w:t>
                </w:r>
              </w:p>
              <w:p w:rsidR="008510EB" w:rsidRDefault="008510EB">
                <w:pPr>
                  <w:pStyle w:val="RCWSLText"/>
                  <w:jc w:val="right"/>
                </w:pPr>
                <w:r>
                  <w:t>5</w:t>
                </w:r>
              </w:p>
              <w:p w:rsidR="008510EB" w:rsidRDefault="008510EB">
                <w:pPr>
                  <w:pStyle w:val="RCWSLText"/>
                  <w:jc w:val="right"/>
                </w:pPr>
                <w:r>
                  <w:t>6</w:t>
                </w:r>
              </w:p>
              <w:p w:rsidR="008510EB" w:rsidRDefault="008510EB">
                <w:pPr>
                  <w:pStyle w:val="RCWSLText"/>
                  <w:jc w:val="right"/>
                </w:pPr>
                <w:r>
                  <w:t>7</w:t>
                </w:r>
              </w:p>
              <w:p w:rsidR="008510EB" w:rsidRDefault="008510EB">
                <w:pPr>
                  <w:pStyle w:val="RCWSLText"/>
                  <w:jc w:val="right"/>
                </w:pPr>
                <w:r>
                  <w:t>8</w:t>
                </w:r>
              </w:p>
              <w:p w:rsidR="008510EB" w:rsidRDefault="008510EB">
                <w:pPr>
                  <w:pStyle w:val="RCWSLText"/>
                  <w:jc w:val="right"/>
                </w:pPr>
                <w:r>
                  <w:t>9</w:t>
                </w:r>
              </w:p>
              <w:p w:rsidR="008510EB" w:rsidRDefault="008510EB">
                <w:pPr>
                  <w:pStyle w:val="RCWSLText"/>
                  <w:jc w:val="right"/>
                </w:pPr>
                <w:r>
                  <w:t>10</w:t>
                </w:r>
              </w:p>
              <w:p w:rsidR="008510EB" w:rsidRDefault="008510EB">
                <w:pPr>
                  <w:pStyle w:val="RCWSLText"/>
                  <w:jc w:val="right"/>
                </w:pPr>
                <w:r>
                  <w:t>11</w:t>
                </w:r>
              </w:p>
              <w:p w:rsidR="008510EB" w:rsidRDefault="008510EB">
                <w:pPr>
                  <w:pStyle w:val="RCWSLText"/>
                  <w:jc w:val="right"/>
                </w:pPr>
                <w:r>
                  <w:t>12</w:t>
                </w:r>
              </w:p>
              <w:p w:rsidR="008510EB" w:rsidRDefault="008510EB">
                <w:pPr>
                  <w:pStyle w:val="RCWSLText"/>
                  <w:jc w:val="right"/>
                </w:pPr>
                <w:r>
                  <w:t>13</w:t>
                </w:r>
              </w:p>
              <w:p w:rsidR="008510EB" w:rsidRDefault="008510EB">
                <w:pPr>
                  <w:pStyle w:val="RCWSLText"/>
                  <w:jc w:val="right"/>
                </w:pPr>
                <w:r>
                  <w:t>14</w:t>
                </w:r>
              </w:p>
              <w:p w:rsidR="008510EB" w:rsidRDefault="008510EB">
                <w:pPr>
                  <w:pStyle w:val="RCWSLText"/>
                  <w:jc w:val="right"/>
                </w:pPr>
                <w:r>
                  <w:t>15</w:t>
                </w:r>
              </w:p>
              <w:p w:rsidR="008510EB" w:rsidRDefault="008510EB">
                <w:pPr>
                  <w:pStyle w:val="RCWSLText"/>
                  <w:jc w:val="right"/>
                </w:pPr>
                <w:r>
                  <w:t>16</w:t>
                </w:r>
              </w:p>
              <w:p w:rsidR="008510EB" w:rsidRDefault="008510EB">
                <w:pPr>
                  <w:pStyle w:val="RCWSLText"/>
                  <w:jc w:val="right"/>
                </w:pPr>
                <w:r>
                  <w:t>17</w:t>
                </w:r>
              </w:p>
              <w:p w:rsidR="008510EB" w:rsidRDefault="008510EB">
                <w:pPr>
                  <w:pStyle w:val="RCWSLText"/>
                  <w:jc w:val="right"/>
                </w:pPr>
                <w:r>
                  <w:t>18</w:t>
                </w:r>
              </w:p>
              <w:p w:rsidR="008510EB" w:rsidRDefault="008510EB">
                <w:pPr>
                  <w:pStyle w:val="RCWSLText"/>
                  <w:jc w:val="right"/>
                </w:pPr>
                <w:r>
                  <w:t>19</w:t>
                </w:r>
              </w:p>
              <w:p w:rsidR="008510EB" w:rsidRDefault="008510EB">
                <w:pPr>
                  <w:pStyle w:val="RCWSLText"/>
                  <w:jc w:val="right"/>
                </w:pPr>
                <w:r>
                  <w:t>20</w:t>
                </w:r>
              </w:p>
              <w:p w:rsidR="008510EB" w:rsidRDefault="008510EB">
                <w:pPr>
                  <w:pStyle w:val="RCWSLText"/>
                  <w:jc w:val="right"/>
                </w:pPr>
                <w:r>
                  <w:t>21</w:t>
                </w:r>
              </w:p>
              <w:p w:rsidR="008510EB" w:rsidRDefault="008510EB">
                <w:pPr>
                  <w:pStyle w:val="RCWSLText"/>
                  <w:jc w:val="right"/>
                </w:pPr>
                <w:r>
                  <w:t>22</w:t>
                </w:r>
              </w:p>
              <w:p w:rsidR="008510EB" w:rsidRDefault="008510EB">
                <w:pPr>
                  <w:pStyle w:val="RCWSLText"/>
                  <w:jc w:val="right"/>
                </w:pPr>
                <w:r>
                  <w:t>23</w:t>
                </w:r>
              </w:p>
              <w:p w:rsidR="008510EB" w:rsidRDefault="008510EB">
                <w:pPr>
                  <w:pStyle w:val="RCWSLText"/>
                  <w:jc w:val="right"/>
                </w:pPr>
                <w:r>
                  <w:t>24</w:t>
                </w:r>
              </w:p>
              <w:p w:rsidR="008510EB" w:rsidRDefault="008510EB" w:rsidP="00060D21">
                <w:pPr>
                  <w:pStyle w:val="RCWSLText"/>
                  <w:jc w:val="right"/>
                </w:pPr>
                <w:r>
                  <w:t>25</w:t>
                </w:r>
              </w:p>
              <w:p w:rsidR="008510EB" w:rsidRDefault="008510EB" w:rsidP="00060D21">
                <w:pPr>
                  <w:pStyle w:val="RCWSLText"/>
                  <w:jc w:val="right"/>
                </w:pPr>
                <w:r>
                  <w:t>26</w:t>
                </w:r>
              </w:p>
              <w:p w:rsidR="008510EB" w:rsidRDefault="008510E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807D1"/>
    <w:rsid w:val="001A775A"/>
    <w:rsid w:val="001E6675"/>
    <w:rsid w:val="00217E8A"/>
    <w:rsid w:val="00281CBD"/>
    <w:rsid w:val="00316CD9"/>
    <w:rsid w:val="003E2FC6"/>
    <w:rsid w:val="004302B7"/>
    <w:rsid w:val="00492DDC"/>
    <w:rsid w:val="00523C5A"/>
    <w:rsid w:val="00605C39"/>
    <w:rsid w:val="00623C25"/>
    <w:rsid w:val="006841E6"/>
    <w:rsid w:val="006F7027"/>
    <w:rsid w:val="0072335D"/>
    <w:rsid w:val="0072541D"/>
    <w:rsid w:val="007A573E"/>
    <w:rsid w:val="007A635D"/>
    <w:rsid w:val="007D35D4"/>
    <w:rsid w:val="00833317"/>
    <w:rsid w:val="00846034"/>
    <w:rsid w:val="008510EB"/>
    <w:rsid w:val="00931B84"/>
    <w:rsid w:val="00972869"/>
    <w:rsid w:val="009F23A9"/>
    <w:rsid w:val="00A01F29"/>
    <w:rsid w:val="00A93D4A"/>
    <w:rsid w:val="00AD2D0A"/>
    <w:rsid w:val="00B31D1C"/>
    <w:rsid w:val="00B518D0"/>
    <w:rsid w:val="00B73E0A"/>
    <w:rsid w:val="00B930C0"/>
    <w:rsid w:val="00B961E0"/>
    <w:rsid w:val="00C71D30"/>
    <w:rsid w:val="00CB6FE7"/>
    <w:rsid w:val="00D40447"/>
    <w:rsid w:val="00DA1B4F"/>
    <w:rsid w:val="00DA47F3"/>
    <w:rsid w:val="00DE256E"/>
    <w:rsid w:val="00DF5D0E"/>
    <w:rsid w:val="00E1471A"/>
    <w:rsid w:val="00E41CC6"/>
    <w:rsid w:val="00E66F5D"/>
    <w:rsid w:val="00ED2EEB"/>
    <w:rsid w:val="00F229DE"/>
    <w:rsid w:val="00F4663F"/>
    <w:rsid w:val="00FA5102"/>
    <w:rsid w:val="00FF635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260</Words>
  <Characters>1478</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2667 AMH CHAB RYAN 012</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2667 AMH CHAB RYAN 012</dc:title>
  <dc:subject/>
  <dc:creator>Washington State Legislature</dc:creator>
  <cp:keywords/>
  <dc:description/>
  <cp:lastModifiedBy>Washington State Legislature</cp:lastModifiedBy>
  <cp:revision>6</cp:revision>
  <cp:lastPrinted>2010-02-03T16:42:00Z</cp:lastPrinted>
  <dcterms:created xsi:type="dcterms:W3CDTF">2010-02-02T20:11:00Z</dcterms:created>
  <dcterms:modified xsi:type="dcterms:W3CDTF">2010-02-03T16:42:00Z</dcterms:modified>
</cp:coreProperties>
</file>