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1D5D" w:rsidP="0072541D">
          <w:pPr>
            <w:pStyle w:val="AmendDocName"/>
          </w:pPr>
          <w:customXml w:element="BillDocName">
            <w:r>
              <w:t xml:space="preserve">5773.E</w:t>
            </w:r>
          </w:customXml>
          <w:customXml w:element="AmendType">
            <w:r>
              <w:t xml:space="preserve"> AMH</w:t>
            </w:r>
          </w:customXml>
          <w:customXml w:element="SponsorAcronym">
            <w:r>
              <w:t xml:space="preserve"> SHMK</w:t>
            </w:r>
          </w:customXml>
          <w:customXml w:element="DrafterAcronym">
            <w:r>
              <w:t xml:space="preserve"> PRIN</w:t>
            </w:r>
          </w:customXml>
          <w:customXml w:element="DraftNumber">
            <w:r>
              <w:t xml:space="preserve"> 345</w:t>
            </w:r>
          </w:customXml>
        </w:p>
      </w:customXml>
      <w:customXml w:element="Heading">
        <w:p w:rsidR="00DF5D0E" w:rsidRDefault="00411D5D">
          <w:customXml w:element="ReferenceNumber">
            <w:r w:rsidR="004F088A">
              <w:rPr>
                <w:b/>
                <w:u w:val="single"/>
              </w:rPr>
              <w:t>ESB 5773</w:t>
            </w:r>
            <w:r w:rsidR="00DE256E">
              <w:t xml:space="preserve"> - </w:t>
            </w:r>
          </w:customXml>
          <w:customXml w:element="Floor">
            <w:r w:rsidR="00936438">
              <w:t>H AMD TO WAYS COM AMD (H-2507.1/11)</w:t>
            </w:r>
          </w:customXml>
          <w:customXml w:element="AmendNumber">
            <w:r>
              <w:rPr>
                <w:b/>
              </w:rPr>
              <w:t xml:space="preserve"> 633</w:t>
            </w:r>
          </w:customXml>
        </w:p>
        <w:p w:rsidR="00DF5D0E" w:rsidRDefault="00411D5D" w:rsidP="00605C39">
          <w:pPr>
            <w:ind w:firstLine="576"/>
          </w:pPr>
          <w:customXml w:element="Sponsors">
            <w:r>
              <w:t xml:space="preserve">By Representative Schmick</w:t>
            </w:r>
          </w:customXml>
        </w:p>
        <w:p w:rsidR="00DF5D0E" w:rsidRDefault="00411D5D" w:rsidP="00846034">
          <w:pPr>
            <w:spacing w:line="408" w:lineRule="exact"/>
            <w:jc w:val="right"/>
            <w:rPr>
              <w:b/>
              <w:bCs/>
            </w:rPr>
          </w:pPr>
          <w:customXml w:element="FloorAction"/>
        </w:p>
      </w:customXml>
      <w:customXml w:element="Page">
        <w:permStart w:id="0" w:edGrp="everyone" w:displacedByCustomXml="prev"/>
        <w:p w:rsidR="00B94E74" w:rsidRDefault="00411D5D" w:rsidP="00A71E0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B94E74" w:rsidRPr="00B94E74">
            <w:t xml:space="preserve"> </w:t>
          </w:r>
          <w:r w:rsidR="00B94E74">
            <w:tab/>
          </w:r>
          <w:r w:rsidR="00E054C2">
            <w:t>Beginning on line 3 of the amendment, strike sections 1 through 4 and insert the following</w:t>
          </w:r>
          <w:r w:rsidR="00B94E74">
            <w:t>:</w:t>
          </w:r>
        </w:p>
        <w:p w:rsidR="00B94E74" w:rsidRDefault="00B94E74" w:rsidP="00A71E0D">
          <w:pPr>
            <w:pStyle w:val="BegSec-Amd"/>
          </w:pPr>
          <w:r>
            <w:t>"</w:t>
          </w:r>
          <w:r>
            <w:rPr>
              <w:b/>
            </w:rPr>
            <w:t xml:space="preserve">Sec. </w:t>
          </w:r>
          <w:r w:rsidR="00411D5D">
            <w:rPr>
              <w:b/>
            </w:rPr>
            <w:fldChar w:fldCharType="begin"/>
          </w:r>
          <w:r>
            <w:rPr>
              <w:b/>
            </w:rPr>
            <w:instrText xml:space="preserve"> LISTNUM  LegalDefault  </w:instrText>
          </w:r>
          <w:r w:rsidR="00411D5D">
            <w:rPr>
              <w:b/>
            </w:rPr>
            <w:fldChar w:fldCharType="end"/>
          </w:r>
          <w:r>
            <w:rPr>
              <w:b/>
            </w:rPr>
            <w:t xml:space="preserve">  </w:t>
          </w:r>
          <w:r>
            <w:t>RCW 41.05.065 and 2009 c 537 s 7 are each amended to read as follows:</w:t>
          </w:r>
        </w:p>
        <w:p w:rsidR="00B94E74" w:rsidRDefault="00B94E74" w:rsidP="00A71E0D">
          <w:pPr>
            <w:pStyle w:val="RCWSLText"/>
          </w:pPr>
          <w:r>
            <w:tab/>
            <w:t>(1)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rsidR="00B94E74" w:rsidRDefault="00B94E74" w:rsidP="00A71E0D">
          <w:pPr>
            <w:pStyle w:val="RCWSLText"/>
          </w:pPr>
          <w:r>
            <w:tab/>
            <w:t>(2) The board shall develop employee benefit plans that include comprehensive health care benefits for employees.  In developing these plans, the board shall consider the following elements:</w:t>
          </w:r>
        </w:p>
        <w:p w:rsidR="00B94E74" w:rsidRDefault="00B94E74" w:rsidP="00A71E0D">
          <w:pPr>
            <w:pStyle w:val="RCWSLText"/>
          </w:pPr>
          <w:r>
            <w:tab/>
            <w:t>(a) Methods of maximizing cost containment while ensuring access to quality health care;</w:t>
          </w:r>
        </w:p>
        <w:p w:rsidR="00B94E74" w:rsidRDefault="00B94E74" w:rsidP="00A71E0D">
          <w:pPr>
            <w:pStyle w:val="RCWSLText"/>
          </w:pPr>
          <w:r>
            <w:t xml:space="preserve"> </w:t>
          </w:r>
          <w:r>
            <w:tab/>
            <w:t>(b) Development of provider arrangements that encourage cost containment and ensure access to quality care, including but not limited to prepaid delivery systems and prospective payment methods;</w:t>
          </w:r>
        </w:p>
        <w:p w:rsidR="00B94E74" w:rsidRDefault="00B94E74" w:rsidP="00A71E0D">
          <w:pPr>
            <w:pStyle w:val="RCWSLText"/>
          </w:pPr>
          <w:r>
            <w:tab/>
            <w:t>(c) Wellness incentives that focus on proven strategies, such as smoking cessation, injury and accident prevention, reduction of alcohol misuse, appropriate weight reduction, exercise, automobile and motorcycle safety, blood cholesterol reduction, and nutrition education;</w:t>
          </w:r>
        </w:p>
        <w:p w:rsidR="00B94E74" w:rsidRDefault="00B94E74" w:rsidP="00A71E0D">
          <w:pPr>
            <w:pStyle w:val="RCWSLText"/>
          </w:pPr>
          <w:r>
            <w:lastRenderedPageBreak/>
            <w:tab/>
            <w:t>(d)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rsidR="00B94E74" w:rsidRDefault="00B94E74" w:rsidP="00A71E0D">
          <w:pPr>
            <w:pStyle w:val="RCWSLText"/>
          </w:pPr>
          <w:r>
            <w:tab/>
            <w:t>(e) Effective coordination of benefits; and</w:t>
          </w:r>
        </w:p>
        <w:p w:rsidR="00B94E74" w:rsidRDefault="00B94E74" w:rsidP="00A71E0D">
          <w:pPr>
            <w:pStyle w:val="RCWSLText"/>
          </w:pPr>
          <w:r>
            <w:tab/>
            <w:t xml:space="preserve">(f) Minimum standards for insuring entities.  </w:t>
          </w:r>
        </w:p>
        <w:p w:rsidR="00B94E74" w:rsidRDefault="00B94E74" w:rsidP="00A71E0D">
          <w:pPr>
            <w:pStyle w:val="RCWSLText"/>
          </w:pPr>
          <w:r>
            <w:tab/>
            <w:t>(3) To maintain the comprehensive nature of employee health care benefits, benefits provided to employees shall be substantially equivalent to the state employees' health benefits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rsidR="00B94E74" w:rsidRDefault="00B94E74" w:rsidP="00A71E0D">
          <w:pPr>
            <w:pStyle w:val="RCWSLText"/>
          </w:pPr>
          <w:r>
            <w:t xml:space="preserve"> </w:t>
          </w:r>
          <w:r>
            <w:tab/>
            <w:t>(4)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rsidR="00B94E74" w:rsidRDefault="00B94E74" w:rsidP="00A71E0D">
          <w:pPr>
            <w:pStyle w:val="RCWSLText"/>
          </w:pPr>
          <w:r>
            <w:tab/>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w:t>
          </w:r>
          <w:r>
            <w:lastRenderedPageBreak/>
            <w:t>ineligible for benefits at the beginning of his or her employment shall become eligible in the following circumstances:</w:t>
          </w:r>
        </w:p>
        <w:p w:rsidR="00B94E74" w:rsidRDefault="00B94E74" w:rsidP="00A71E0D">
          <w:pPr>
            <w:pStyle w:val="RCWSLText"/>
          </w:pPr>
          <w:r>
            <w:tab/>
            <w:t>(i)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rsidR="00B94E74" w:rsidRDefault="00B94E74" w:rsidP="00A71E0D">
          <w:pPr>
            <w:pStyle w:val="RCWSLText"/>
          </w:pPr>
          <w:r>
            <w:tab/>
            <w:t>(ii) An employee who works an average of at least eighty hours per month over a period of six consecutive months and for at least eight hours in each of those six consecutive months becomes eligible at the first of the month following the six-month averaging period.</w:t>
          </w:r>
        </w:p>
        <w:p w:rsidR="00B94E74" w:rsidRDefault="00B94E74" w:rsidP="00A71E0D">
          <w:pPr>
            <w:pStyle w:val="RCWSLText"/>
          </w:pPr>
          <w:r>
            <w:tab/>
            <w:t>(b)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half-time, as defined by the board,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rsidR="00B94E74" w:rsidRDefault="00B94E74" w:rsidP="00A71E0D">
          <w:pPr>
            <w:pStyle w:val="RCWSLText"/>
          </w:pPr>
          <w:r>
            <w:tab/>
            <w:t>(c) Faculty are eligible as follows:</w:t>
          </w:r>
        </w:p>
        <w:p w:rsidR="00B94E74" w:rsidRDefault="00B94E74" w:rsidP="00A71E0D">
          <w:pPr>
            <w:pStyle w:val="RCWSLText"/>
          </w:pPr>
          <w:r>
            <w:tab/>
            <w:t xml:space="preserve">(i) Faculty who the employing agency anticipates will work half–time or more for the entire instructional year or equivalent nine- month period are eligible for benefits from the date of employment.  Eligibility shall continue until the beginning of the first full month of the next instructional year, unless the employment relationship is terminated, in which case eligibility shall cease the first month </w:t>
          </w:r>
          <w:r>
            <w:lastRenderedPageBreak/>
            <w:t>following the notice of termination or the effective date of the termination, whichever is later.</w:t>
          </w:r>
        </w:p>
        <w:p w:rsidR="00B94E74" w:rsidRDefault="00B94E74" w:rsidP="00A71E0D">
          <w:pPr>
            <w:pStyle w:val="RCWSLText"/>
          </w:pPr>
          <w:r>
            <w:t xml:space="preserve"> </w:t>
          </w:r>
          <w:r>
            <w:tab/>
            <w:t>(ii)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coverage.  Faculty who have met the criteria of this subsection (4)(c)(ii), who work at least two quarters of the academic year with an average academic year workload of half-time or more for three quarters of the academic year, and who have worked an average of half-time or more in each of the two preceding academic years shall continue to receive uninterrupted employer contributions for benefits if he or she works at least half- time in a quarter or semester or works two quarters of the academic year with an average academic workload each academic year of half-time or more for three quarters.  Eligibility under this section ceases immediately if this criteria is not met.</w:t>
          </w:r>
        </w:p>
        <w:p w:rsidR="00B94E74" w:rsidRDefault="00B94E74" w:rsidP="00A71E0D">
          <w:pPr>
            <w:pStyle w:val="RCWSLText"/>
          </w:pPr>
          <w:r>
            <w:tab/>
            <w:t>(iii)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rsidR="00B94E74" w:rsidRDefault="00B94E74" w:rsidP="00A71E0D">
          <w:pPr>
            <w:pStyle w:val="RCWSLText"/>
          </w:pPr>
          <w:r>
            <w:tab/>
            <w:t>(iv) The employing agency must provide written notice to faculty who are potentially eligible for benefits under this subsection (4)(c) of their potential eligibility.</w:t>
          </w:r>
        </w:p>
        <w:p w:rsidR="00B94E74" w:rsidRDefault="00B94E74" w:rsidP="00A71E0D">
          <w:pPr>
            <w:pStyle w:val="RCWSLText"/>
          </w:pPr>
          <w:r>
            <w:lastRenderedPageBreak/>
            <w:tab/>
            <w:t>(v) To be eligible for maintenance of benefits through averaging under (c)(ii) of this subsection, faculty must provide written notification to his or her employing agency or agencies of his or her potential eligibility.</w:t>
          </w:r>
        </w:p>
        <w:p w:rsidR="00B94E74" w:rsidRDefault="00B94E74" w:rsidP="00A71E0D">
          <w:pPr>
            <w:pStyle w:val="RCWSLText"/>
          </w:pPr>
          <w:r>
            <w:tab/>
            <w:t>(d)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rsidR="00B94E74" w:rsidRDefault="00B94E74" w:rsidP="00A71E0D">
          <w:pPr>
            <w:pStyle w:val="RCWSLText"/>
          </w:pPr>
          <w:r>
            <w:tab/>
            <w:t>(e) A justice of the supreme court and judges of the court of appeals and the superior courts become eligible for benefits on the date he or she takes the oath of office.</w:t>
          </w:r>
        </w:p>
        <w:p w:rsidR="00B94E74" w:rsidRDefault="00B94E74" w:rsidP="00A71E0D">
          <w:pPr>
            <w:pStyle w:val="RCWSLText"/>
          </w:pPr>
          <w:r>
            <w:tab/>
            <w:t>(f) Except as provided in (c)(i) and (ii) of this subsection, eligibility ceases for any employee the first of the month following termination of the employment relationship.</w:t>
          </w:r>
        </w:p>
        <w:p w:rsidR="00B94E74" w:rsidRDefault="00B94E74" w:rsidP="00A71E0D">
          <w:pPr>
            <w:pStyle w:val="RCWSLText"/>
          </w:pPr>
          <w:r>
            <w:tab/>
            <w:t>(g) In determining eligibility under this section, the employing agency may disregard training hours, standby hours, or temporary changes in work hours as determined by the authority under this section.</w:t>
          </w:r>
        </w:p>
        <w:p w:rsidR="00B94E74" w:rsidRDefault="00B94E74" w:rsidP="00A71E0D">
          <w:pPr>
            <w:pStyle w:val="RCWSLText"/>
          </w:pPr>
          <w:r>
            <w:tab/>
            <w:t>(h) Insurance coverage for all eligible employees begins on the first day of the month following the date when eligibility for benefits is established.  If the date eligibility is established is the first working day of a month, insurance coverage begins on that date.</w:t>
          </w:r>
        </w:p>
        <w:p w:rsidR="00B94E74" w:rsidRDefault="00B94E74" w:rsidP="00A71E0D">
          <w:pPr>
            <w:pStyle w:val="RCWSLText"/>
          </w:pPr>
          <w:r>
            <w:tab/>
            <w:t>(i)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rsidR="00B94E74" w:rsidRDefault="00B94E74" w:rsidP="00A71E0D">
          <w:pPr>
            <w:pStyle w:val="RCWSLText"/>
          </w:pPr>
          <w:r>
            <w:t xml:space="preserve"> </w:t>
          </w:r>
          <w:r>
            <w:tab/>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w:t>
          </w:r>
          <w:r>
            <w:lastRenderedPageBreak/>
            <w:t>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rsidR="00B94E74" w:rsidRDefault="00B94E74" w:rsidP="00A71E0D">
          <w:pPr>
            <w:pStyle w:val="RCWSLText"/>
          </w:pPr>
          <w:r>
            <w:tab/>
            <w:t>(k) For the purposes of this subsection:</w:t>
          </w:r>
        </w:p>
        <w:p w:rsidR="00B94E74" w:rsidRDefault="00B94E74" w:rsidP="00A71E0D">
          <w:pPr>
            <w:pStyle w:val="RCWSLText"/>
          </w:pPr>
          <w:r>
            <w:tab/>
            <w:t>(i) "Academic year" means summer, fall, winter, and spring quarters or semesters;</w:t>
          </w:r>
        </w:p>
        <w:p w:rsidR="00B94E74" w:rsidRDefault="00B94E74" w:rsidP="00A71E0D">
          <w:pPr>
            <w:pStyle w:val="RCWSLText"/>
          </w:pPr>
          <w:r>
            <w:t xml:space="preserve"> </w:t>
          </w:r>
          <w:r>
            <w:tab/>
            <w:t>(ii) "Half-time" means one-half of the full-time academic workload as determined by each institution, except that half-time for community and technical college faculty employees shall have the same meaning as "part-time" under RCW 28B.50.489;</w:t>
          </w:r>
        </w:p>
        <w:p w:rsidR="00B94E74" w:rsidRDefault="00B94E74" w:rsidP="00A71E0D">
          <w:pPr>
            <w:pStyle w:val="RCWSLText"/>
          </w:pPr>
          <w:r>
            <w:tab/>
            <w:t>(iii) "Benefits-eligible position" shall be defined by the board.</w:t>
          </w:r>
        </w:p>
        <w:p w:rsidR="00B94E74" w:rsidRDefault="00B94E74" w:rsidP="00A71E0D">
          <w:pPr>
            <w:pStyle w:val="RCWSLText"/>
          </w:pPr>
          <w:r>
            <w:tab/>
            <w:t>(5) The board may authorize premium contributions for an employee and the employee's dependents in a manner that encourages the use of cost-efficient managed health care systems.</w:t>
          </w:r>
        </w:p>
        <w:p w:rsidR="00B94E74" w:rsidRDefault="00B94E74" w:rsidP="00A71E0D">
          <w:pPr>
            <w:pStyle w:val="RCWSLText"/>
          </w:pPr>
          <w:r>
            <w:tab/>
            <w:t xml:space="preserve">(6) </w:t>
          </w:r>
          <w:r>
            <w:rPr>
              <w:u w:val="single"/>
            </w:rPr>
            <w:t>For any open enrollment period beginning on or after November 1, 2011, t</w:t>
          </w:r>
          <w:r>
            <w:t>he board shall ((</w:t>
          </w:r>
          <w:r>
            <w:rPr>
              <w:strike/>
            </w:rPr>
            <w:t>develop</w:t>
          </w:r>
          <w:r>
            <w:t xml:space="preserve">)) </w:t>
          </w:r>
          <w:r>
            <w:rPr>
              <w:u w:val="single"/>
            </w:rPr>
            <w:t>offer</w:t>
          </w:r>
          <w:r>
            <w:t xml:space="preserve"> a health savings account option for employees that conform</w:t>
          </w:r>
          <w:r>
            <w:rPr>
              <w:u w:val="single"/>
            </w:rPr>
            <w:t>s</w:t>
          </w:r>
          <w:r>
            <w:t xml:space="preserve"> to section 223, Part VII of subchapter B of chapter 1 of the internal revenue code of 1986.  The board shall comply with all applicable federal standards related to the establishment of health savings accounts.</w:t>
          </w:r>
        </w:p>
        <w:p w:rsidR="00B94E74" w:rsidRDefault="00B94E74" w:rsidP="00A71E0D">
          <w:pPr>
            <w:pStyle w:val="RCWSLText"/>
          </w:pPr>
          <w:r>
            <w:tab/>
            <w:t xml:space="preserve">(7) Notwithstanding any other provision of this chapter, </w:t>
          </w:r>
          <w:r>
            <w:rPr>
              <w:u w:val="single"/>
            </w:rPr>
            <w:t>for any open enrollment period beginning on or after November 1, 2011,</w:t>
          </w:r>
          <w:r>
            <w:t xml:space="preserve"> the board shall ((</w:t>
          </w:r>
          <w:r>
            <w:rPr>
              <w:strike/>
            </w:rPr>
            <w:t>develop</w:t>
          </w:r>
          <w:r>
            <w:t xml:space="preserve">)) </w:t>
          </w:r>
          <w:r>
            <w:rPr>
              <w:u w:val="single"/>
            </w:rPr>
            <w:t>offer</w:t>
          </w:r>
          <w:r>
            <w:t xml:space="preserve"> a high deductible health plan ((</w:t>
          </w:r>
          <w:r>
            <w:rPr>
              <w:strike/>
            </w:rPr>
            <w:t>to be offered</w:t>
          </w:r>
          <w:r>
            <w:t>)) in conjunction with a health savings account developed under subsection (6) of this section.</w:t>
          </w:r>
        </w:p>
        <w:p w:rsidR="00B94E74" w:rsidRDefault="00B94E74" w:rsidP="00A71E0D">
          <w:pPr>
            <w:pStyle w:val="RCWSLText"/>
          </w:pPr>
          <w:r>
            <w:tab/>
            <w:t>(8) Employees shall choose participation in one of the health care benefit plans developed by the board and may be permitted to waive coverage under terms and conditions established by the board.</w:t>
          </w:r>
        </w:p>
        <w:p w:rsidR="00B94E74" w:rsidRDefault="00B94E74" w:rsidP="00A71E0D">
          <w:pPr>
            <w:pStyle w:val="RCWSLText"/>
          </w:pPr>
          <w:r>
            <w:tab/>
            <w:t xml:space="preserve">(9) The board shall review plans proposed by insuring entities that desire to offer property insurance and/or accident and casualty </w:t>
          </w:r>
          <w:r>
            <w:lastRenderedPageBreak/>
            <w:t>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rsidR="00B94E74" w:rsidRDefault="00B94E74" w:rsidP="00A71E0D">
          <w:pPr>
            <w:pStyle w:val="RCWSLText"/>
          </w:pPr>
          <w:r>
            <w:tab/>
            <w:t>(10)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 term care offering.</w:t>
          </w:r>
        </w:p>
        <w:p w:rsidR="00B94E74" w:rsidRDefault="00B94E74" w:rsidP="00A71E0D">
          <w:pPr>
            <w:pStyle w:val="RCWSLText"/>
          </w:pPr>
          <w:r>
            <w:tab/>
            <w:t>(a)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rsidR="00B94E74" w:rsidRDefault="00B94E74" w:rsidP="00A71E0D">
          <w:pPr>
            <w:pStyle w:val="RCWSLText"/>
          </w:pPr>
          <w:r>
            <w:tab/>
            <w:t>(b)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rsidR="00B94E74" w:rsidRDefault="00B94E74" w:rsidP="00A71E0D">
          <w:pPr>
            <w:pStyle w:val="RCWSLText"/>
          </w:pPr>
          <w:r>
            <w:lastRenderedPageBreak/>
            <w:tab/>
            <w:t>(c) To the extent administratively possible, the state shall establish an automatic payroll or pension deduction system for the payment of the long-term care insurance premiums.</w:t>
          </w:r>
        </w:p>
        <w:p w:rsidR="00B94E74" w:rsidRDefault="00B94E74" w:rsidP="00A71E0D">
          <w:pPr>
            <w:pStyle w:val="RCWSLText"/>
          </w:pPr>
          <w:r>
            <w:tab/>
            <w:t>(d)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rsidR="00B94E74" w:rsidRDefault="00B94E74" w:rsidP="00A71E0D">
          <w:pPr>
            <w:pStyle w:val="RCWSLText"/>
          </w:pPr>
          <w:r>
            <w:tab/>
            <w:t>(e) The health care authority shall offer employees, retired employees, and retired school employees the option of purchasing long- 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rsidR="00B94E74" w:rsidRDefault="00B94E74" w:rsidP="00A71E0D">
          <w:pPr>
            <w:pStyle w:val="RCWSLText"/>
          </w:pPr>
          <w:r>
            <w:tab/>
            <w:t>(f) In developing the long-term care insurance benefit designs, the public employees' benefits board shall include an alternative plan of care benefit, including adult day services, as approved by the office of the insurance commissioner.</w:t>
          </w:r>
        </w:p>
        <w:p w:rsidR="00B94E74" w:rsidRDefault="00B94E74" w:rsidP="00A71E0D">
          <w:pPr>
            <w:pStyle w:val="RCWSLText"/>
          </w:pPr>
          <w:r>
            <w:tab/>
            <w:t>(g)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rsidR="00B94E74" w:rsidRDefault="00B94E74" w:rsidP="00A71E0D">
          <w:pPr>
            <w:pStyle w:val="RCWSLText"/>
          </w:pPr>
          <w:r>
            <w:lastRenderedPageBreak/>
            <w:t xml:space="preserve"> </w:t>
          </w:r>
          <w:r>
            <w:tab/>
            <w:t>(11) The board may establish penalties to be imposed by the authority when the eligibility determinations of an employing agency fail to comply with the criteria under this chapter."</w:t>
          </w:r>
        </w:p>
        <w:p w:rsidR="004F088A" w:rsidRDefault="004F088A" w:rsidP="00C8108C">
          <w:pPr>
            <w:pStyle w:val="Page"/>
          </w:pPr>
        </w:p>
        <w:p w:rsidR="00DF5D0E" w:rsidRPr="00C8108C" w:rsidRDefault="00411D5D" w:rsidP="004F088A">
          <w:pPr>
            <w:pStyle w:val="RCWSLText"/>
            <w:suppressLineNumbers/>
          </w:pPr>
        </w:p>
      </w:customXml>
      <w:permEnd w:id="0" w:displacedByCustomXml="next"/>
      <w:customXml w:element="Effect">
        <w:p w:rsidR="00ED2EEB" w:rsidRDefault="00ED2EEB" w:rsidP="004F088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F088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B94E74">
                <w:pPr>
                  <w:pStyle w:val="Effect"/>
                  <w:suppressLineNumbers/>
                  <w:shd w:val="clear" w:color="auto" w:fill="auto"/>
                  <w:ind w:left="0" w:firstLine="0"/>
                </w:pPr>
                <w:r w:rsidRPr="0096303F">
                  <w:tab/>
                </w:r>
                <w:r w:rsidR="001C1B27" w:rsidRPr="0096303F">
                  <w:rPr>
                    <w:u w:val="single"/>
                  </w:rPr>
                  <w:t>EFFECT:</w:t>
                </w:r>
                <w:r w:rsidR="00B94E74" w:rsidRPr="0096303F">
                  <w:t xml:space="preserve">    </w:t>
                </w:r>
                <w:r w:rsidR="00B94E74">
                  <w:t>Eliminates provisions relating to direct patient-provider primary care practices, and specifies that the Public Employees' Benefits Board shall offer the option of a high deductible health insurance plan along with a health savings account for any open enrollment period beginning on or after November 1, 2011.</w:t>
                </w:r>
              </w:p>
            </w:tc>
          </w:tr>
        </w:tbl>
        <w:p w:rsidR="00DF5D0E" w:rsidRDefault="00411D5D" w:rsidP="004F088A">
          <w:pPr>
            <w:pStyle w:val="BillEnd"/>
            <w:suppressLineNumbers/>
          </w:pPr>
        </w:p>
        <w:permEnd w:id="1" w:displacedByCustomXml="next"/>
      </w:customXml>
      <w:p w:rsidR="00DF5D0E" w:rsidRDefault="00DE256E" w:rsidP="004F088A">
        <w:pPr>
          <w:pStyle w:val="BillEnd"/>
          <w:suppressLineNumbers/>
        </w:pPr>
        <w:r>
          <w:rPr>
            <w:b/>
          </w:rPr>
          <w:t>--- END ---</w:t>
        </w:r>
      </w:p>
      <w:p w:rsidR="00DF5D0E" w:rsidRDefault="00411D5D" w:rsidP="004F088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8A" w:rsidRDefault="004F088A" w:rsidP="00DF5D0E">
      <w:r>
        <w:separator/>
      </w:r>
    </w:p>
  </w:endnote>
  <w:endnote w:type="continuationSeparator" w:id="0">
    <w:p w:rsidR="004F088A" w:rsidRDefault="004F08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74" w:rsidRDefault="00B94E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1D5D">
    <w:pPr>
      <w:pStyle w:val="AmendDraftFooter"/>
    </w:pPr>
    <w:fldSimple w:instr=" TITLE   \* MERGEFORMAT ">
      <w:r w:rsidR="00EF4C0E">
        <w:t>5773.E AMH SHMK PRIN 345</w:t>
      </w:r>
    </w:fldSimple>
    <w:r w:rsidR="001B4E53">
      <w:tab/>
    </w:r>
    <w:fldSimple w:instr=" PAGE  \* Arabic  \* MERGEFORMAT ">
      <w:r w:rsidR="00936438">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1D5D">
    <w:pPr>
      <w:pStyle w:val="AmendDraftFooter"/>
    </w:pPr>
    <w:fldSimple w:instr=" TITLE   \* MERGEFORMAT ">
      <w:r w:rsidR="00EF4C0E">
        <w:t>5773.E AMH SHMK PRIN 345</w:t>
      </w:r>
    </w:fldSimple>
    <w:r w:rsidR="001B4E53">
      <w:tab/>
    </w:r>
    <w:fldSimple w:instr=" PAGE  \* Arabic  \* MERGEFORMAT ">
      <w:r w:rsidR="009364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8A" w:rsidRDefault="004F088A" w:rsidP="00DF5D0E">
      <w:r>
        <w:separator/>
      </w:r>
    </w:p>
  </w:footnote>
  <w:footnote w:type="continuationSeparator" w:id="0">
    <w:p w:rsidR="004F088A" w:rsidRDefault="004F08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74" w:rsidRDefault="00B94E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1D5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1D5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5B5E"/>
    <w:rsid w:val="00060D21"/>
    <w:rsid w:val="00096165"/>
    <w:rsid w:val="000C6C82"/>
    <w:rsid w:val="000D543C"/>
    <w:rsid w:val="000E603A"/>
    <w:rsid w:val="00102468"/>
    <w:rsid w:val="00106544"/>
    <w:rsid w:val="00146AAF"/>
    <w:rsid w:val="001A775A"/>
    <w:rsid w:val="001B4E53"/>
    <w:rsid w:val="001C1B27"/>
    <w:rsid w:val="001E6675"/>
    <w:rsid w:val="00217E8A"/>
    <w:rsid w:val="00281CBD"/>
    <w:rsid w:val="00316CD9"/>
    <w:rsid w:val="003E2FC6"/>
    <w:rsid w:val="00411D5D"/>
    <w:rsid w:val="00492DDC"/>
    <w:rsid w:val="004C063F"/>
    <w:rsid w:val="004C6615"/>
    <w:rsid w:val="004F088A"/>
    <w:rsid w:val="00523C5A"/>
    <w:rsid w:val="005E69C3"/>
    <w:rsid w:val="005F1CE4"/>
    <w:rsid w:val="00605C39"/>
    <w:rsid w:val="00637A8E"/>
    <w:rsid w:val="006841E6"/>
    <w:rsid w:val="006F7027"/>
    <w:rsid w:val="0072335D"/>
    <w:rsid w:val="0072541D"/>
    <w:rsid w:val="007769AF"/>
    <w:rsid w:val="007A73DD"/>
    <w:rsid w:val="007D1589"/>
    <w:rsid w:val="007D35D4"/>
    <w:rsid w:val="00846034"/>
    <w:rsid w:val="008C7E6E"/>
    <w:rsid w:val="00931B84"/>
    <w:rsid w:val="00936438"/>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4E74"/>
    <w:rsid w:val="00B961E0"/>
    <w:rsid w:val="00BC2DD0"/>
    <w:rsid w:val="00BF44DF"/>
    <w:rsid w:val="00C61A83"/>
    <w:rsid w:val="00C8108C"/>
    <w:rsid w:val="00CE04C7"/>
    <w:rsid w:val="00D40447"/>
    <w:rsid w:val="00D659AC"/>
    <w:rsid w:val="00DA47F3"/>
    <w:rsid w:val="00DE256E"/>
    <w:rsid w:val="00DF5D0E"/>
    <w:rsid w:val="00E054C2"/>
    <w:rsid w:val="00E1471A"/>
    <w:rsid w:val="00E41CC6"/>
    <w:rsid w:val="00E66F5D"/>
    <w:rsid w:val="00E850E7"/>
    <w:rsid w:val="00ED2EEB"/>
    <w:rsid w:val="00EF4C0E"/>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9</Pages>
  <Words>2509</Words>
  <Characters>14303</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5773.E AMH SHMK PRIN 345</dc:title>
  <dc:subject/>
  <dc:creator>David Pringle</dc:creator>
  <cp:keywords/>
  <dc:description/>
  <cp:lastModifiedBy>Rick Johnson</cp:lastModifiedBy>
  <cp:revision>9</cp:revision>
  <cp:lastPrinted>2011-04-09T18:21:00Z</cp:lastPrinted>
  <dcterms:created xsi:type="dcterms:W3CDTF">2011-04-09T18:11:00Z</dcterms:created>
  <dcterms:modified xsi:type="dcterms:W3CDTF">2011-04-09T22:32:00Z</dcterms:modified>
</cp:coreProperties>
</file>