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b75a62494b49bb" /></Relationships>
</file>

<file path=word/document.xml><?xml version="1.0" encoding="utf-8"?>
<w:document xmlns:w="http://schemas.openxmlformats.org/wordprocessingml/2006/main">
  <w:body>
    <w:p>
      <w:r>
        <w:rPr>
          <w:b/>
        </w:rPr>
        <w:r>
          <w:rPr/>
          <w:t xml:space="preserve">1449-S</w:t>
        </w:r>
      </w:r>
      <w:r>
        <w:rPr>
          <w:b/>
        </w:rPr>
        <w:t xml:space="preserve"> </w:t>
        <w:t xml:space="preserve">AMH</w:t>
      </w:r>
      <w:r>
        <w:rPr>
          <w:b/>
        </w:rPr>
        <w:t xml:space="preserve"> </w:t>
        <w:r>
          <w:rPr/>
          <w:t xml:space="preserve">FARR</w:t>
        </w:r>
      </w:r>
      <w:r>
        <w:rPr>
          <w:b/>
        </w:rPr>
        <w:t xml:space="preserve"> </w:t>
        <w:r>
          <w:rPr/>
          <w:t xml:space="preserve">H2232.3</w:t>
        </w:r>
      </w:r>
      <w:r>
        <w:rPr>
          <w:b/>
        </w:rPr>
        <w:t xml:space="preserve"> - NOT FOR FLOOR USE</w:t>
      </w:r>
    </w:p>
    <w:p>
      <w:pPr>
        <w:spacing w:before="480" w:after="0" w:line="408" w:lineRule="exact"/>
      </w:pPr>
      <w:r>
        <w:rPr>
          <w:b/>
          <w:u w:val="single"/>
        </w:rPr>
        <w:t xml:space="preserve">SHB 1449</w:t>
      </w:r>
      <w:r>
        <w:t xml:space="preserve"> -</w:t>
      </w:r>
      <w:r>
        <w:t xml:space="preserve"> </w:t>
        <w:t xml:space="preserve">H AMD</w:t>
      </w:r>
      <w:r>
        <w:t xml:space="preserve"> </w:t>
      </w:r>
      <w:r>
        <w:rPr>
          <w:b/>
        </w:rPr>
        <w:t xml:space="preserve">162</w:t>
      </w:r>
    </w:p>
    <w:p>
      <w:pPr>
        <w:spacing w:before="0" w:after="0" w:line="408" w:lineRule="exact"/>
        <w:ind w:left="0" w:right="0" w:firstLine="576"/>
        <w:jc w:val="left"/>
      </w:pPr>
      <w:r>
        <w:rPr/>
        <w:t xml:space="preserve">By Representative Farrell</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 The account shall be used exclusively to pay for:</w:t>
      </w:r>
    </w:p>
    <w:p>
      <w:pPr>
        <w:spacing w:before="0" w:after="0" w:line="408" w:lineRule="exact"/>
        <w:ind w:left="0" w:right="0" w:firstLine="576"/>
        <w:jc w:val="left"/>
      </w:pPr>
      <w:r>
        <w:rPr/>
        <w:t xml:space="preserve">(a) The costs associated with the response to spills </w:t>
      </w:r>
      <w:r>
        <w:t>((</w:t>
      </w:r>
      <w:r>
        <w:rPr>
          <w:strike/>
        </w:rPr>
        <w:t xml:space="preserve">of crude oil or petroleum products into the navigable</w:t>
      </w:r>
      <w:r>
        <w:t>))</w:t>
      </w:r>
      <w:r>
        <w:rPr/>
        <w:t xml:space="preserve"> </w:t>
      </w:r>
      <w:r>
        <w:rPr>
          <w:u w:val="single"/>
        </w:rPr>
        <w:t xml:space="preserve">or threats of spills of oil or hazardous substances to the</w:t>
      </w:r>
      <w:r>
        <w:rPr/>
        <w:t xml:space="preserve"> waters of the state; and</w:t>
      </w:r>
    </w:p>
    <w:p>
      <w:pPr>
        <w:spacing w:before="0" w:after="0" w:line="408" w:lineRule="exact"/>
        <w:ind w:left="0" w:right="0" w:firstLine="576"/>
        <w:jc w:val="left"/>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w:t>
      </w:r>
      <w:r>
        <w:t>((</w:t>
      </w:r>
      <w:r>
        <w:rPr>
          <w:strike/>
        </w:rPr>
        <w:t xml:space="preserve">of crude oil or petroleum products</w:t>
      </w:r>
      <w:r>
        <w:t>))</w:t>
      </w:r>
      <w:r>
        <w:rPr/>
        <w:t xml:space="preserve">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for a response under subsection (2)(a) of this section,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department must be provided prior notice before a crude oil transfer, that is regulated under this chapter and that may impact waters of the state, occurs between:</w:t>
      </w:r>
    </w:p>
    <w:p>
      <w:pPr>
        <w:spacing w:before="0" w:after="0" w:line="408" w:lineRule="exact"/>
        <w:ind w:left="0" w:right="0" w:firstLine="576"/>
        <w:jc w:val="left"/>
      </w:pPr>
      <w:r>
        <w:rPr/>
        <w:t xml:space="preserve">(i) A railroad facility and another facility; or</w:t>
      </w:r>
    </w:p>
    <w:p>
      <w:pPr>
        <w:spacing w:before="0" w:after="0" w:line="408" w:lineRule="exact"/>
        <w:ind w:left="0" w:right="0" w:firstLine="576"/>
        <w:jc w:val="left"/>
      </w:pPr>
      <w:r>
        <w:rPr/>
        <w:t xml:space="preserve">(ii) A railroad facility and a covered vessel.</w:t>
      </w:r>
    </w:p>
    <w:p>
      <w:pPr>
        <w:spacing w:before="0" w:after="0" w:line="408" w:lineRule="exact"/>
        <w:ind w:left="0" w:right="0" w:firstLine="576"/>
        <w:jc w:val="left"/>
      </w:pPr>
      <w:r>
        <w:rPr/>
        <w:t xml:space="preserve">(b) The notice required in (a) of this subsection is in addition to the requirements found in RCW 88.46.165 and must rely on the "advanced notice of transfer" system used by the department. The notice must include the time, location, volume, and type of oil transfer. The department shall adopt rules under this section.</w:t>
      </w:r>
    </w:p>
    <w:p>
      <w:pPr>
        <w:spacing w:before="0" w:after="0" w:line="408" w:lineRule="exact"/>
        <w:ind w:left="0" w:right="0" w:firstLine="576"/>
        <w:jc w:val="left"/>
      </w:pPr>
      <w:r>
        <w:rPr/>
        <w:t xml:space="preserve">(2) Twice per year, pipelines must report to the department the volume of oil and type of oil, including types of diluting agents in the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subsections (1) and (2) of this section on a quarterly basis on the department web site. Data reported with respect to oil transportation must be aggregated by county and include county of transfer, volume transferred, type of oil transferred, place of origin, mode of transportation, route taken to the point of transfer, number of rail cars transferring oil, and volume and number of oil spills en route to or during transfer that are reported to the department.</w:t>
      </w:r>
    </w:p>
    <w:p>
      <w:pPr>
        <w:spacing w:before="0" w:after="0" w:line="408" w:lineRule="exact"/>
        <w:ind w:left="0" w:right="0" w:firstLine="576"/>
        <w:jc w:val="left"/>
      </w:pPr>
      <w:r>
        <w:rPr/>
        <w:t xml:space="preserve">(4) Consistent with RCW 42.56.270, the department, as well as other entities that receive shared information from the department under this section, may not disclose individual, nonaggregated notices of transfers involving a railroad facility submitted to the department under subsection (1)(a) of this section or information submitted to the department under subsection (2) of this section regarding the diluting agents contained in oil transported by pipeline. However, the department may share unaggregated information collected pursuant to subsections (1) and (2) of this section:</w:t>
      </w:r>
    </w:p>
    <w:p>
      <w:pPr>
        <w:spacing w:before="0" w:after="0" w:line="408" w:lineRule="exact"/>
        <w:ind w:left="0" w:right="0" w:firstLine="576"/>
        <w:jc w:val="left"/>
      </w:pPr>
      <w:r>
        <w:rPr/>
        <w:t xml:space="preserve">(a) For use by a local emergency planning committee for the purposes of RCW 38.52.040; and</w:t>
      </w:r>
    </w:p>
    <w:p>
      <w:pPr>
        <w:spacing w:before="0" w:after="0" w:line="408" w:lineRule="exact"/>
        <w:ind w:left="0" w:right="0" w:firstLine="576"/>
        <w:jc w:val="left"/>
      </w:pPr>
      <w:r>
        <w:rPr/>
        <w:t xml:space="preserve">(b) For use by state or local police departments, fire departments, paramedics, and other state or local government personnel with an official emergency management or emergency response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reasonable worst case spill volume, as measured in barrels</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Except as provided in subsection (3)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(5)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state board of pilotage commissioners, in consultation with the department of ecology and relying on the results of vessel traffic risk assessments, may write rules to implement this subsection (1)(b), but only after an event described in subsection (2) of this section takes place and only for the waters directly affected by the facility event. These rules may include tug escort requirements and other safety measures for oil tankers of greater than forty thousand deadweight tons, all articulated tug barges, and other towed waterborne vessels or barges that may apply in the following areas consistent with subsections (3)(a) and (5)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Any inland portion of the Columbia river or within three miles of Cape Disappointment at the mouth of the Columbia river; or</w:t>
      </w:r>
    </w:p>
    <w:p>
      <w:pPr>
        <w:spacing w:before="0" w:after="0" w:line="408" w:lineRule="exact"/>
        <w:ind w:left="0" w:right="0" w:firstLine="576"/>
        <w:jc w:val="left"/>
      </w:pPr>
      <w:r>
        <w:rPr>
          <w:u w:val="single"/>
        </w:rPr>
        <w:t xml:space="preserve">(iii) The waters identified in (a) of this subsection.</w:t>
      </w:r>
    </w:p>
    <w:p>
      <w:pPr>
        <w:spacing w:before="0" w:after="0" w:line="408" w:lineRule="exact"/>
        <w:ind w:left="0" w:right="0" w:firstLine="576"/>
        <w:jc w:val="left"/>
      </w:pPr>
      <w:r>
        <w:rPr>
          <w:u w:val="single"/>
        </w:rPr>
        <w:t xml:space="preserve">(c) The state board of pilotage commissioners, in consultation with the department of ecology and relying on the results of vessel traffic risk assessments, shall adopt rules by June 30, 2017, to implement this subsection (1)(c). These rules may include tug escort requirements and other safety measures for oil tankers of greater than forty thousand deadweight tons, all articulated tug barges, and other towed waterborne vessels or barges and apply in the following areas consistent with subsections (3)(a) and (5) of this section: The waters described in (a) of this subsection, including all narrow channels of the San Juan Islands archipelago, Rosario Strait, Haro Strait, Boundary Pass, and connected waterways.</w:t>
      </w:r>
    </w:p>
    <w:p>
      <w:pPr>
        <w:spacing w:before="0" w:after="0" w:line="408" w:lineRule="exact"/>
        <w:ind w:left="0" w:right="0" w:firstLine="576"/>
        <w:jc w:val="left"/>
      </w:pPr>
      <w:r>
        <w:rPr>
          <w:u w:val="single"/>
        </w:rPr>
        <w:t xml:space="preserve">(2) The state board of pilotage commissioners may adopt rules under subsection (1)(b) of this section only after: </w:t>
      </w:r>
    </w:p>
    <w:p>
      <w:pPr>
        <w:spacing w:before="0" w:after="0" w:line="408" w:lineRule="exact"/>
        <w:ind w:left="0" w:right="0" w:firstLine="576"/>
        <w:jc w:val="left"/>
      </w:pPr>
      <w:r>
        <w:rPr>
          <w:u w:val="single"/>
        </w:rPr>
        <w:t xml:space="preserve">(a) The governor approves, after January 1, 2015, a recommendation of the energy facility site evaluation council pursuant to RCW 80.50.100 to certify a facility meeting the criteria listed in RCW 80.50.020(12) (d) or (f);</w:t>
      </w:r>
    </w:p>
    <w:p>
      <w:pPr>
        <w:spacing w:before="0" w:after="0" w:line="408" w:lineRule="exact"/>
        <w:ind w:left="0" w:right="0" w:firstLine="576"/>
        <w:jc w:val="left"/>
      </w:pPr>
      <w:r>
        <w:rPr>
          <w:u w:val="single"/>
        </w:rPr>
        <w:t xml:space="preserve">(b) A state agency or a local jurisdiction makes a final determination or issues a final permit after January 1, 2015, to site a new facility required to have a contingency plan pursuant to chapter 90.56 RCW or to provide authority for the first time to process or receive crude oil, as defined in chapter 90.56 RCW, to an existing facility required to have a contingency plan pursuant to chapter 90.56 RCW, other than a facility that is:</w:t>
      </w:r>
    </w:p>
    <w:p>
      <w:pPr>
        <w:spacing w:before="0" w:after="0" w:line="408" w:lineRule="exact"/>
        <w:ind w:left="0" w:right="0" w:firstLine="576"/>
        <w:jc w:val="left"/>
      </w:pPr>
      <w:r>
        <w:rPr>
          <w:u w:val="single"/>
        </w:rPr>
        <w:t xml:space="preserve">(i) A transmission pipeline; or</w:t>
      </w:r>
    </w:p>
    <w:p>
      <w:pPr>
        <w:spacing w:before="0" w:after="0" w:line="408" w:lineRule="exact"/>
        <w:ind w:left="0" w:right="0" w:firstLine="576"/>
        <w:jc w:val="left"/>
      </w:pPr>
      <w:r>
        <w:rPr>
          <w:u w:val="single"/>
        </w:rPr>
        <w:t xml:space="preserve">(ii) A railroad facility; or</w:t>
      </w:r>
    </w:p>
    <w:p>
      <w:pPr>
        <w:spacing w:before="0" w:after="0" w:line="408" w:lineRule="exact"/>
        <w:ind w:left="0" w:right="0" w:firstLine="576"/>
        <w:jc w:val="left"/>
      </w:pPr>
      <w:r>
        <w:rPr>
          <w:u w:val="single"/>
        </w:rPr>
        <w:t xml:space="preserve">(c) The state of Oregon or any local jurisdiction in Oregon makes a final determination or issues a final permit to site a new facility in the watershed of the Columbia river that would be required to have a contingency plan pursuant to chapter 90.56 RCW if an identical facility were located in Washington, or to provide authority for the first time to process or receive crude oil, as defined in chapter 90.56 RCW, to an existing facility that would be required to have a contingency plan pursuant to chapter 90.56 RCW if an identical facility were located in Washington, other than a facility that is:</w:t>
      </w:r>
    </w:p>
    <w:p>
      <w:pPr>
        <w:spacing w:before="0" w:after="0" w:line="408" w:lineRule="exact"/>
        <w:ind w:left="0" w:right="0" w:firstLine="576"/>
        <w:jc w:val="left"/>
      </w:pPr>
      <w:r>
        <w:rPr>
          <w:u w:val="single"/>
        </w:rPr>
        <w:t xml:space="preserve">(i) A transmission pipeline; or</w:t>
      </w:r>
    </w:p>
    <w:p>
      <w:pPr>
        <w:spacing w:before="0" w:after="0" w:line="408" w:lineRule="exact"/>
        <w:ind w:left="0" w:right="0" w:firstLine="576"/>
        <w:jc w:val="left"/>
      </w:pPr>
      <w:r>
        <w:rPr>
          <w:u w:val="single"/>
        </w:rPr>
        <w:t xml:space="preserve">(ii) A railroad facility.</w:t>
      </w:r>
    </w:p>
    <w:p>
      <w:pPr>
        <w:spacing w:before="0" w:after="0" w:line="408" w:lineRule="exact"/>
        <w:ind w:left="0" w:right="0" w:firstLine="576"/>
        <w:jc w:val="left"/>
      </w:pPr>
      <w:r>
        <w:rPr>
          <w:u w:val="single"/>
        </w:rPr>
        <w:t xml:space="preserve">(3)(a)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(4)(a) Prior to proceeding with rule making as authorized under subsection (1)(b) and (c) of this section, the state board of pilotage commissioners shall consult with the United States coast guard, the Oregon board of maritime pilots, the Puget Sound, Grays Harbor, and Columbia river harbor safety committees, area tribes, public ports in Oregon and Washington, local governments, and other appropriate entities. In adopting rules, the state board of pilotage commissioners must take into account any tug escort or other maritime safety measures for a water body that were or are required as mitigation or as a condition of a facility siting decision by a state agency or local jurisdiction.</w:t>
      </w:r>
    </w:p>
    <w:p>
      <w:pPr>
        <w:spacing w:before="0" w:after="0" w:line="408" w:lineRule="exact"/>
        <w:ind w:left="0" w:right="0" w:firstLine="576"/>
        <w:jc w:val="left"/>
      </w:pPr>
      <w:r>
        <w:rPr>
          <w:u w:val="single"/>
        </w:rPr>
        <w:t xml:space="preserve">(b) The department may not adopt any rules under this subsection or under subsection (1)(b) and (c) of this section until a vessel traffic risk assessment has been completed for the waters subject to the rule making. In order to adopt a rule under this section or subsection (1)(b) and (c) of this section, the board of pilotage commissioners must determine that the results of a vessel traffic risk assessment provides evidence that the rules are necessary in order to achieve best achievable protection as defined in RCW 88.46.010. In order for the state board of pilotage commissioners to rely on a vessel traffic risk assessment that is conducted after January 1, 2015, the vessel traffic risk assessment must involve a simulation analysis of vessel traffic. A simulation analysis is not required of a vessel traffic risk assessment relied upon by the state board of pilotage commissioners that was conducted before January 1, 2015.</w:t>
      </w:r>
    </w:p>
    <w:p>
      <w:pPr>
        <w:spacing w:before="0" w:after="0" w:line="408" w:lineRule="exact"/>
        <w:ind w:left="0" w:right="0" w:firstLine="576"/>
        <w:jc w:val="left"/>
      </w:pPr>
      <w:r>
        <w:rPr>
          <w:u w:val="single"/>
        </w:rPr>
        <w:t xml:space="preserve">(5)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(6)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(7) The provisions of this section do not apply to pilotage for enrolled tankers.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ten</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 and one-half</w:t>
      </w:r>
      <w:r>
        <w:t>))</w:t>
      </w:r>
      <w:r>
        <w:rPr/>
        <w:t xml:space="preserve"> </w:t>
      </w:r>
      <w:r>
        <w:rPr>
          <w:u w:val="single"/>
        </w:rPr>
        <w:t xml:space="preserve">two-tenths of one</w:t>
      </w:r>
      <w:r>
        <w:rPr/>
        <w:t xml:space="preserve"> percent of its </w:t>
      </w:r>
      <w:r>
        <w:rPr>
          <w:u w:val="single"/>
        </w:rPr>
        <w:t xml:space="preserve">combined</w:t>
      </w:r>
      <w:r>
        <w:rPr/>
        <w:t xml:space="preserve"> intrastate gross operating revenue </w:t>
      </w:r>
      <w:r>
        <w:rPr>
          <w:u w:val="single"/>
        </w:rPr>
        <w:t xml:space="preserve">and the Washington state portion of its gross interstate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(23)(a) Notices of a transfer of crude oil involving a railroad facility submitted to the department of ecology pursuant to section 8(1)(a) of this act and that is in the possession of the department of ecology or any entity with which the department of ecology has shared the notice pursuant to section 8(4) of this act; and </w:t>
      </w:r>
    </w:p>
    <w:p>
      <w:pPr>
        <w:spacing w:before="0" w:after="0" w:line="408" w:lineRule="exact"/>
        <w:ind w:left="0" w:right="0" w:firstLine="576"/>
        <w:jc w:val="left"/>
      </w:pPr>
      <w:r>
        <w:rPr>
          <w:u w:val="single"/>
        </w:rPr>
        <w:t xml:space="preserve">(b) Information submitted to the department of ecology by pipelines pursuant to section 8(2) of this act that is related to diluting agents contained in transported oil and that is in the possession of the department of ecology or any entity with which the department of ecology has shared the information pursuant to section 8(4)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floor striker makes the following changes to the substitute house bill: </w:t>
      </w:r>
    </w:p>
    <w:p>
      <w:pPr>
        <w:spacing w:before="0" w:after="0" w:line="408" w:lineRule="exact"/>
        <w:ind w:left="0" w:right="0" w:firstLine="576"/>
        <w:jc w:val="left"/>
      </w:pPr>
      <w:r>
        <w:rPr/>
        <w:t xml:space="preserve">(1) Requires pipelines to include information about the types of diluents contained in transported oil in their twice-yearly reports to the department of ecology. </w:t>
      </w:r>
    </w:p>
    <w:p>
      <w:pPr>
        <w:spacing w:before="0" w:after="0" w:line="408" w:lineRule="exact"/>
        <w:ind w:left="0" w:right="0" w:firstLine="576"/>
        <w:jc w:val="left"/>
      </w:pPr>
      <w:r>
        <w:rPr/>
        <w:t xml:space="preserve">(2) Creates an exemption in the public records act for unaggregated advanced notice of transfer information submitted to the department of ecology by railroads and for oil diluent information submitted by pipelines, but authorizes the department of ecology to share this information with local emergency planning committees and local government personnel with official emergency management duties.</w:t>
      </w:r>
    </w:p>
    <w:p>
      <w:pPr>
        <w:spacing w:before="0" w:after="0" w:line="408" w:lineRule="exact"/>
        <w:ind w:left="0" w:right="0" w:firstLine="576"/>
        <w:jc w:val="left"/>
      </w:pPr>
      <w:r>
        <w:rPr/>
        <w:t xml:space="preserve">(3) Makes the state board of pilotage commissioners' discretionary tug escort rules and other rule making pertaining to oil bearing vessels in Puget Sound, Grays Harbor, and the Columbia river contingent upon one of the following events taking place:</w:t>
      </w:r>
    </w:p>
    <w:p>
      <w:pPr>
        <w:spacing w:before="0" w:after="0" w:line="408" w:lineRule="exact"/>
        <w:ind w:left="0" w:right="0" w:firstLine="576"/>
        <w:jc w:val="left"/>
      </w:pPr>
      <w:r>
        <w:rPr/>
        <w:t xml:space="preserve">(a) The governor's approval of a recommendation by the energy facility site evaluation council to certify a facility with an oil receiving capacity of over 50,000 barrels per day or a processing capacity of over 25,000 barrels per day;</w:t>
      </w:r>
    </w:p>
    <w:p>
      <w:pPr>
        <w:spacing w:before="0" w:after="0" w:line="408" w:lineRule="exact"/>
        <w:ind w:left="0" w:right="0" w:firstLine="576"/>
        <w:jc w:val="left"/>
      </w:pPr>
      <w:r>
        <w:rPr/>
        <w:t xml:space="preserve">(b) The issuance of a final permit by a state agency or local jurisdiction to site an oil refinery or terminal or to provide first-time authorization for an existing facility to receive or process crude oil; or</w:t>
      </w:r>
    </w:p>
    <w:p>
      <w:pPr>
        <w:spacing w:before="0" w:after="0" w:line="408" w:lineRule="exact"/>
        <w:ind w:left="0" w:right="0" w:firstLine="576"/>
        <w:jc w:val="left"/>
      </w:pPr>
      <w:r>
        <w:rPr/>
        <w:t xml:space="preserve">(c) The issuance of a final permit by the state of Oregon to site a new facility that would be required to have a contingency plan if it were located in Washington or to provide first-time authority for a facility to receive or process crude oil.</w:t>
      </w:r>
    </w:p>
    <w:p>
      <w:pPr>
        <w:spacing w:before="0" w:after="0" w:line="408" w:lineRule="exact"/>
        <w:ind w:left="0" w:right="0" w:firstLine="576"/>
        <w:jc w:val="left"/>
      </w:pPr>
      <w:r>
        <w:rPr/>
        <w:t xml:space="preserve">(4) Limits the scope of the board of pilotage commissioners' rule-making authority to waters that are directly affected by new crude oil operations at a facility.</w:t>
      </w:r>
    </w:p>
    <w:p>
      <w:pPr>
        <w:spacing w:before="0" w:after="0" w:line="408" w:lineRule="exact"/>
        <w:ind w:left="0" w:right="0" w:firstLine="576"/>
        <w:jc w:val="left"/>
      </w:pPr>
      <w:r>
        <w:rPr/>
        <w:t xml:space="preserve">(5) Adds all Puget Sound waters to the scope of maritime safety mandatory rule making that must be completed for the narrow channels of the San Juan islands by the board of pilotage commissioners by June 2017.</w:t>
      </w:r>
    </w:p>
    <w:p>
      <w:pPr>
        <w:spacing w:before="0" w:after="0" w:line="408" w:lineRule="exact"/>
        <w:ind w:left="0" w:right="0" w:firstLine="576"/>
        <w:jc w:val="left"/>
      </w:pPr>
      <w:r>
        <w:rPr/>
        <w:t xml:space="preserve">(6) Requires that vessel traffic risk assessments performed after 2015 that form the basis for any tug escort or other maritime safety rules adopted by the state board of pilotage commissioners must include a simulation analysis.</w:t>
      </w:r>
    </w:p>
    <w:p>
      <w:pPr>
        <w:spacing w:before="0" w:after="0" w:line="408" w:lineRule="exact"/>
        <w:ind w:left="0" w:right="0" w:firstLine="576"/>
        <w:jc w:val="left"/>
      </w:pPr>
      <w:r>
        <w:rPr/>
        <w:t xml:space="preserve">(7) Requires that the state board of pilotage commissioners rule making take into account any maritime safety measures for a water body that have been required as mitigation for the siting of a facility. </w:t>
      </w:r>
    </w:p>
    <w:p>
      <w:pPr>
        <w:spacing w:before="0" w:after="0" w:line="408" w:lineRule="exact"/>
        <w:ind w:left="0" w:right="0" w:firstLine="576"/>
        <w:jc w:val="left"/>
      </w:pPr>
      <w:r>
        <w:rPr/>
        <w:t xml:space="preserve">(8) Requires that the financial responsibility demonstrated by railroads, refineries, and other oil facilities be calculated based on a reasonable worst-case spill volume, rather than specifically on the worst-case spill volume assumed in oil spill contingency plans submitted by facilities to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a0849a5684546" /></Relationships>
</file>